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43AA" w14:textId="77777777" w:rsidR="00E653C1" w:rsidRPr="00E40003" w:rsidRDefault="00E653C1" w:rsidP="00050B81">
      <w:pPr>
        <w:spacing w:before="120" w:after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COURSE LAYOUT</w:t>
      </w:r>
    </w:p>
    <w:p w14:paraId="136BC6B3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1086"/>
        <w:gridCol w:w="1248"/>
        <w:gridCol w:w="1194"/>
        <w:gridCol w:w="328"/>
        <w:gridCol w:w="1388"/>
      </w:tblGrid>
      <w:tr w:rsidR="00E653C1" w:rsidRPr="00A9572F" w14:paraId="4E006868" w14:textId="77777777" w:rsidTr="001A3F9B">
        <w:tc>
          <w:tcPr>
            <w:tcW w:w="3205" w:type="dxa"/>
            <w:shd w:val="clear" w:color="auto" w:fill="DDD9C3"/>
          </w:tcPr>
          <w:p w14:paraId="28B270E9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60A250BE" w14:textId="201172DF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en-NL" w:eastAsia="en-GB"/>
              </w:rPr>
            </w:pPr>
            <w:r w:rsidRPr="007C60D0">
              <w:rPr>
                <w:rStyle w:val="Strong"/>
                <w:rFonts w:asciiTheme="minorHAnsi" w:hAnsiTheme="minorHAnsi" w:cstheme="minorHAnsi"/>
                <w:b w:val="0"/>
                <w:bCs w:val="0"/>
                <w:caps/>
                <w:color w:val="333333"/>
                <w:sz w:val="20"/>
                <w:szCs w:val="20"/>
                <w:shd w:val="clear" w:color="auto" w:fill="F5F5F5"/>
                <w:lang w:val="en-US"/>
              </w:rPr>
              <w:t>Applied Economics and Social Sciences</w:t>
            </w:r>
          </w:p>
        </w:tc>
      </w:tr>
      <w:tr w:rsidR="00E653C1" w:rsidRPr="00E40003" w14:paraId="75A200EB" w14:textId="77777777" w:rsidTr="001A3F9B">
        <w:tc>
          <w:tcPr>
            <w:tcW w:w="3205" w:type="dxa"/>
            <w:shd w:val="clear" w:color="auto" w:fill="DDD9C3"/>
          </w:tcPr>
          <w:p w14:paraId="00B2406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515CF14D" w14:textId="6F4FBC7A" w:rsidR="00E653C1" w:rsidRPr="00E40003" w:rsidRDefault="005F5A3D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AGRICULTURAL ECONOMICS </w:t>
            </w:r>
            <w:r w:rsidR="00E40003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DEVELOPMENT</w:t>
            </w:r>
          </w:p>
        </w:tc>
      </w:tr>
      <w:tr w:rsidR="00E653C1" w:rsidRPr="00E40003" w14:paraId="0F1BD446" w14:textId="77777777" w:rsidTr="001A3F9B">
        <w:tc>
          <w:tcPr>
            <w:tcW w:w="3205" w:type="dxa"/>
            <w:shd w:val="clear" w:color="auto" w:fill="DDD9C3"/>
          </w:tcPr>
          <w:p w14:paraId="630A3CE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14:paraId="1ACEEB0B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0003">
              <w:rPr>
                <w:rFonts w:asciiTheme="minorHAnsi" w:hAnsiTheme="minorHAnsi" w:cstheme="minorHAnsi"/>
                <w:i/>
                <w:sz w:val="20"/>
                <w:szCs w:val="20"/>
              </w:rPr>
              <w:t>Undergraduate</w:t>
            </w:r>
            <w:proofErr w:type="spellEnd"/>
          </w:p>
        </w:tc>
      </w:tr>
      <w:tr w:rsidR="00E653C1" w:rsidRPr="00E40003" w14:paraId="3CF26F2F" w14:textId="77777777" w:rsidTr="001A3F9B">
        <w:tc>
          <w:tcPr>
            <w:tcW w:w="3205" w:type="dxa"/>
            <w:shd w:val="clear" w:color="auto" w:fill="DDD9C3"/>
          </w:tcPr>
          <w:p w14:paraId="39AB3BA6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791C2E50" w14:textId="7B3F7C75" w:rsidR="00E653C1" w:rsidRPr="00F67634" w:rsidRDefault="00F67634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FA27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05" w:type="dxa"/>
            <w:gridSpan w:val="2"/>
            <w:shd w:val="clear" w:color="auto" w:fill="DDD9C3"/>
          </w:tcPr>
          <w:p w14:paraId="4929993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14:paraId="5B74966F" w14:textId="77777777" w:rsidR="00E653C1" w:rsidRDefault="00E653C1" w:rsidP="005F5A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BE6B674" w14:textId="22BBF538" w:rsidR="00FA27C7" w:rsidRPr="00FA27C7" w:rsidRDefault="00FA27C7" w:rsidP="005F5A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E653C1" w:rsidRPr="00A9572F" w14:paraId="7072BEE2" w14:textId="77777777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14:paraId="3BA03F42" w14:textId="77777777" w:rsidR="00E653C1" w:rsidRPr="00E40003" w:rsidRDefault="00E653C1" w:rsidP="0049495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0DA79102" w14:textId="7FB7FA85" w:rsidR="00E653C1" w:rsidRPr="00FA27C7" w:rsidRDefault="00FA27C7" w:rsidP="00542B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Financing and Financial Analysis of Businesses in Agriculture</w:t>
            </w:r>
          </w:p>
        </w:tc>
      </w:tr>
      <w:tr w:rsidR="00E653C1" w:rsidRPr="00E40003" w14:paraId="2AF9E0E3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14:paraId="7D11D70A" w14:textId="77777777" w:rsidR="00E653C1" w:rsidRPr="00E40003" w:rsidRDefault="00E653C1" w:rsidP="003C27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INDEPENDENT TEACHING ACTIVITIES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30738D0D" w14:textId="77777777" w:rsidR="00E653C1" w:rsidRPr="00E40003" w:rsidRDefault="00E653C1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14:paraId="5BF6ED49" w14:textId="77777777" w:rsidR="00E653C1" w:rsidRPr="00E40003" w:rsidRDefault="006A29BB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CREDITS/</w:t>
            </w:r>
            <w:r w:rsidR="00E653C1"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ECTS</w:t>
            </w:r>
          </w:p>
        </w:tc>
      </w:tr>
      <w:tr w:rsidR="00E653C1" w:rsidRPr="00E40003" w14:paraId="1F952DA2" w14:textId="77777777" w:rsidTr="00952292">
        <w:trPr>
          <w:trHeight w:val="194"/>
        </w:trPr>
        <w:tc>
          <w:tcPr>
            <w:tcW w:w="5637" w:type="dxa"/>
            <w:gridSpan w:val="3"/>
          </w:tcPr>
          <w:p w14:paraId="4F35365C" w14:textId="3BC61B92" w:rsidR="00E653C1" w:rsidRPr="00E40003" w:rsidRDefault="00E653C1" w:rsidP="000130A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</w:rPr>
              <w:t xml:space="preserve">LECTURES and </w:t>
            </w:r>
            <w:r w:rsid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TUTORIALS</w:t>
            </w:r>
          </w:p>
        </w:tc>
        <w:tc>
          <w:tcPr>
            <w:tcW w:w="1559" w:type="dxa"/>
            <w:gridSpan w:val="2"/>
          </w:tcPr>
          <w:p w14:paraId="477355B7" w14:textId="74EAC282" w:rsidR="00E653C1" w:rsidRPr="00E40003" w:rsidRDefault="00E40003" w:rsidP="00726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</w:tcPr>
          <w:p w14:paraId="2EAC35B5" w14:textId="245387BA" w:rsidR="00E653C1" w:rsidRPr="00E40003" w:rsidRDefault="00E40003" w:rsidP="009070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E653C1" w:rsidRPr="00E40003" w14:paraId="580AC207" w14:textId="77777777" w:rsidTr="00952292">
        <w:trPr>
          <w:trHeight w:val="194"/>
        </w:trPr>
        <w:tc>
          <w:tcPr>
            <w:tcW w:w="5637" w:type="dxa"/>
            <w:gridSpan w:val="3"/>
          </w:tcPr>
          <w:p w14:paraId="390461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7814372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3A93ED7E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B066A5E" w14:textId="77777777" w:rsidTr="00952292">
        <w:trPr>
          <w:trHeight w:val="194"/>
        </w:trPr>
        <w:tc>
          <w:tcPr>
            <w:tcW w:w="5637" w:type="dxa"/>
            <w:gridSpan w:val="3"/>
          </w:tcPr>
          <w:p w14:paraId="2FC27CC8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339D04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6BF75861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4721A581" w14:textId="77777777" w:rsidTr="001A3F9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14:paraId="102B45A2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71B152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1506F640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4F3776E" w14:textId="77777777" w:rsidTr="001A3F9B">
        <w:trPr>
          <w:trHeight w:val="599"/>
        </w:trPr>
        <w:tc>
          <w:tcPr>
            <w:tcW w:w="3205" w:type="dxa"/>
            <w:shd w:val="clear" w:color="auto" w:fill="DDD9C3"/>
          </w:tcPr>
          <w:p w14:paraId="70D71EC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TYPE</w:t>
            </w:r>
          </w:p>
          <w:p w14:paraId="07C58F9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41235EAA" w14:textId="22963572" w:rsidR="00E653C1" w:rsidRPr="00F67634" w:rsidRDefault="00F67634" w:rsidP="001D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Elective</w:t>
            </w:r>
            <w:r w:rsidR="00A957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Scientific Area</w:t>
            </w:r>
          </w:p>
        </w:tc>
      </w:tr>
      <w:tr w:rsidR="00E653C1" w:rsidRPr="00A9572F" w14:paraId="386EBDE8" w14:textId="77777777" w:rsidTr="001A3F9B">
        <w:tc>
          <w:tcPr>
            <w:tcW w:w="3205" w:type="dxa"/>
            <w:shd w:val="clear" w:color="auto" w:fill="DDD9C3"/>
          </w:tcPr>
          <w:p w14:paraId="0B39580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PREREQUISITES</w:t>
            </w:r>
          </w:p>
          <w:p w14:paraId="31F1FC2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2B640DB6" w14:textId="415A2720" w:rsidR="00E653C1" w:rsidRPr="00E40003" w:rsidRDefault="00F67634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Accounting I, Accounting II, Evaluation of Investments in Agriculture</w:t>
            </w:r>
          </w:p>
        </w:tc>
      </w:tr>
      <w:tr w:rsidR="00E653C1" w:rsidRPr="00A9572F" w14:paraId="3128C730" w14:textId="77777777" w:rsidTr="001A3F9B">
        <w:tc>
          <w:tcPr>
            <w:tcW w:w="3205" w:type="dxa"/>
            <w:shd w:val="clear" w:color="auto" w:fill="DDD9C3"/>
          </w:tcPr>
          <w:p w14:paraId="0B784F5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218973B6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Greek with English support in terminology</w:t>
            </w:r>
          </w:p>
        </w:tc>
      </w:tr>
      <w:tr w:rsidR="00E653C1" w:rsidRPr="00E40003" w14:paraId="21F3506A" w14:textId="77777777" w:rsidTr="001A3F9B">
        <w:tc>
          <w:tcPr>
            <w:tcW w:w="3205" w:type="dxa"/>
            <w:shd w:val="clear" w:color="auto" w:fill="DDD9C3"/>
          </w:tcPr>
          <w:p w14:paraId="046E4D8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IS THE COURSE OFFERED for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231" w:type="dxa"/>
            <w:gridSpan w:val="5"/>
          </w:tcPr>
          <w:p w14:paraId="16A06299" w14:textId="69E3385C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  <w:tr w:rsidR="00E653C1" w:rsidRPr="00A9572F" w14:paraId="136364AF" w14:textId="77777777" w:rsidTr="001A3F9B">
        <w:tc>
          <w:tcPr>
            <w:tcW w:w="3205" w:type="dxa"/>
            <w:shd w:val="clear" w:color="auto" w:fill="DDD9C3"/>
          </w:tcPr>
          <w:p w14:paraId="0E60BB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14:paraId="2FFCE17E" w14:textId="73D81FB4" w:rsidR="00E653C1" w:rsidRPr="008F40FE" w:rsidRDefault="00A9572F" w:rsidP="008F40FE">
            <w:pPr>
              <w:spacing w:after="0" w:line="240" w:lineRule="auto"/>
              <w:rPr>
                <w:sz w:val="20"/>
                <w:szCs w:val="20"/>
                <w:lang w:val="en-NL" w:eastAsia="en-GB"/>
              </w:rPr>
            </w:pPr>
            <w:hyperlink r:id="rId6" w:history="1">
              <w:r w:rsidR="008F40FE" w:rsidRPr="008F40FE">
                <w:rPr>
                  <w:rStyle w:val="Hyperlink"/>
                  <w:sz w:val="20"/>
                  <w:szCs w:val="20"/>
                  <w:lang w:val="en-GB"/>
                </w:rPr>
                <w:t>https://mediasrv.aua.gr/eclass/courses/935/</w:t>
              </w:r>
            </w:hyperlink>
          </w:p>
        </w:tc>
      </w:tr>
    </w:tbl>
    <w:p w14:paraId="671A531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E653C1" w:rsidRPr="00E40003" w14:paraId="4574E8BB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14:paraId="77F3223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Learning</w:t>
            </w:r>
            <w:proofErr w:type="spellEnd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E653C1" w:rsidRPr="00E40003" w14:paraId="7A8024FA" w14:textId="77777777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14:paraId="311129DF" w14:textId="77777777" w:rsidR="00E653C1" w:rsidRPr="00E40003" w:rsidRDefault="00E653C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653C1" w:rsidRPr="00A9572F" w14:paraId="00F64BDE" w14:textId="77777777" w:rsidTr="00050B81">
        <w:tc>
          <w:tcPr>
            <w:tcW w:w="8472" w:type="dxa"/>
            <w:gridSpan w:val="2"/>
          </w:tcPr>
          <w:p w14:paraId="706E5302" w14:textId="2729FDB4" w:rsidR="00FA27C7" w:rsidRDefault="00FA27C7" w:rsidP="00FA27C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course builds on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modules of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Accounting I, Accounting II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Evaluation of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Investment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Agriculture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has a twofold aim: to acquaint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students with the methods used to analyze the financial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condition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an agricultural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business;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inform them in the manner by which firms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can 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raise funds in order to finance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their activities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In this context, the different forms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sources 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business 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financing are examined with a detailed discussion of their individual characteristics.</w:t>
            </w:r>
          </w:p>
          <w:p w14:paraId="10F6A827" w14:textId="77777777" w:rsidR="00FA27C7" w:rsidRPr="00FA27C7" w:rsidRDefault="00FA27C7" w:rsidP="00FA27C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373701B" w14:textId="6E6E3C47" w:rsidR="00FA27C7" w:rsidRDefault="00FA27C7" w:rsidP="00FA27C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n, the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discussion extends to Financial Statement Analysis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Business Finance and Portfolio Investment Analysis by examining the methods used to assess the financial position and liquidity of an agricultural enterprise as well as the management of its capital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the context of its cost of 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capital.</w:t>
            </w:r>
          </w:p>
          <w:p w14:paraId="160B686E" w14:textId="77777777" w:rsidR="00E130AD" w:rsidRPr="00FA27C7" w:rsidRDefault="00E130AD" w:rsidP="00FA27C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EA0A9BB" w14:textId="076D3145" w:rsidR="00FA27C7" w:rsidRPr="00FA27C7" w:rsidRDefault="00FA27C7" w:rsidP="00FA27C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 successful completion of the course student</w:t>
            </w:r>
            <w:r w:rsid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 be able to:</w:t>
            </w:r>
          </w:p>
          <w:p w14:paraId="449C3051" w14:textId="0683D2E3" w:rsidR="00FA27C7" w:rsidRPr="00FA27C7" w:rsidRDefault="00FA27C7" w:rsidP="00FA27C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• Use the knowledge provided to select appropriate methods of Financial Analysis for the evaluation of agricultural enterprises.</w:t>
            </w:r>
          </w:p>
          <w:p w14:paraId="36F674E9" w14:textId="5FEA5566" w:rsidR="00FA27C7" w:rsidRPr="00FA27C7" w:rsidRDefault="00FA27C7" w:rsidP="00FA27C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• Utilize available techniques in corporate finance in order to gather, analyze, and interpret data related to the valuation, management and possible restructuring of an investment portfolio.</w:t>
            </w:r>
          </w:p>
          <w:p w14:paraId="27EFCE2F" w14:textId="0A73CB4E" w:rsidR="00FA27C7" w:rsidRPr="00FA27C7" w:rsidRDefault="00FA27C7" w:rsidP="00FA27C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• </w:t>
            </w:r>
            <w:r w:rsid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Apprehend</w:t>
            </w: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range of possible financing tools for an agricultural enterprise and assess the potential risks involved in each case.</w:t>
            </w:r>
          </w:p>
          <w:p w14:paraId="35C5BC1D" w14:textId="174B32B3" w:rsidR="00FA27C7" w:rsidRPr="00FA27C7" w:rsidRDefault="00FA27C7" w:rsidP="00FA27C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• Develop critical thinking for the collection and interpretation of financial data and the selection of appropriate analysis methods to assess the financial requirements of agricultural enterprises.</w:t>
            </w:r>
          </w:p>
          <w:p w14:paraId="52401F1C" w14:textId="3AE4BBD1" w:rsidR="00316F6C" w:rsidRPr="00316F6C" w:rsidRDefault="00316F6C" w:rsidP="00FA27C7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5A3D6DD2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14:paraId="03C93D33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</w:t>
            </w: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E653C1" w:rsidRPr="00A9572F" w14:paraId="17BE1343" w14:textId="77777777" w:rsidTr="00B25922">
        <w:tc>
          <w:tcPr>
            <w:tcW w:w="8472" w:type="dxa"/>
            <w:gridSpan w:val="2"/>
          </w:tcPr>
          <w:p w14:paraId="58DFF356" w14:textId="6F4C67F5" w:rsidR="00E130AD" w:rsidRPr="00E130AD" w:rsidRDefault="00E130AD" w:rsidP="00E130A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6F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Data retrieval, and related analysis and synthesis using modern technologies.</w:t>
            </w:r>
          </w:p>
          <w:p w14:paraId="33080722" w14:textId="532BF843" w:rsidR="00673BDE" w:rsidRPr="00E40003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Adaptation to course requirements </w:t>
            </w:r>
          </w:p>
          <w:p w14:paraId="3BB69C2D" w14:textId="130FEF39" w:rsidR="00673BDE" w:rsidRPr="00E40003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Decision making</w:t>
            </w:r>
          </w:p>
          <w:p w14:paraId="7C59FE32" w14:textId="0F897A82" w:rsidR="00F67634" w:rsidRPr="00E40003" w:rsidRDefault="0027265D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Development</w:t>
            </w:r>
            <w:r w:rsid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research ideas</w:t>
            </w:r>
          </w:p>
          <w:p w14:paraId="186ABDD5" w14:textId="760B0155" w:rsidR="004659F0" w:rsidRPr="00E40003" w:rsidRDefault="004659F0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Exercise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412B4"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critic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al thought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self-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evaluation</w:t>
            </w:r>
          </w:p>
          <w:p w14:paraId="52015245" w14:textId="42BCA6CE" w:rsidR="00E653C1" w:rsidRPr="00E40003" w:rsidRDefault="004659F0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Advance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ment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of free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creative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inductive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thinking</w:t>
            </w:r>
          </w:p>
        </w:tc>
      </w:tr>
    </w:tbl>
    <w:p w14:paraId="71F59DE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lastRenderedPageBreak/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A9572F" w14:paraId="657D4758" w14:textId="77777777" w:rsidTr="00952292">
        <w:tc>
          <w:tcPr>
            <w:tcW w:w="8472" w:type="dxa"/>
          </w:tcPr>
          <w:p w14:paraId="6704874A" w14:textId="11393B76" w:rsidR="00316F6C" w:rsidRPr="00734010" w:rsidRDefault="00F67634" w:rsidP="00734010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course follow</w:t>
            </w:r>
            <w:r w:rsid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subsequent indicative structure:</w:t>
            </w:r>
          </w:p>
          <w:p w14:paraId="66731BB7" w14:textId="41533B33" w:rsidR="00734010" w:rsidRDefault="00D141A8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Reitaratioin</w:t>
            </w:r>
            <w:proofErr w:type="spellEnd"/>
            <w:r w:rsidR="00734010"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basic financial accounting principles </w:t>
            </w:r>
          </w:p>
          <w:p w14:paraId="0BD86301" w14:textId="2FC97932" w:rsidR="00E130AD" w:rsidRPr="00E130AD" w:rsidRDefault="00E130AD" w:rsidP="00E130A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Understand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ing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purpose of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financial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statement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analy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overview of the methods available for such analysis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075AE3CD" w14:textId="728C7FA0" w:rsidR="00E130AD" w:rsidRPr="00E130AD" w:rsidRDefault="00E130AD" w:rsidP="00E130A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Revisiting Ratio Analysis in greater detail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ROE, ROA and Dupont - decomposition vs more contemporary approaches</w:t>
            </w:r>
          </w:p>
          <w:p w14:paraId="44E1D90F" w14:textId="41CA3C9F" w:rsidR="00E130AD" w:rsidRPr="00E130AD" w:rsidRDefault="00E130AD" w:rsidP="00E130A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Cash Flow</w:t>
            </w:r>
            <w:r w:rsidR="00D141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141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Operating Activities -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Direct method under IAS 7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2750E706" w14:textId="6C4C3A8D" w:rsidR="00E130AD" w:rsidRPr="00E130AD" w:rsidRDefault="00D141A8" w:rsidP="00E130A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Break Even</w:t>
            </w:r>
            <w:r w:rsidR="00E130AD"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Point Analysis.</w:t>
            </w:r>
          </w:p>
          <w:p w14:paraId="65BB8B19" w14:textId="5DAEC2E0" w:rsidR="00E130AD" w:rsidRPr="00E130AD" w:rsidRDefault="00E130AD" w:rsidP="00E130A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Examination of </w:t>
            </w:r>
            <w:r w:rsidR="00D141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onds as a long-term form of financing</w:t>
            </w:r>
            <w:r w:rsidR="00D141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66D42794" w14:textId="3D5BDC03" w:rsidR="00E130AD" w:rsidRPr="00E130AD" w:rsidRDefault="00E130AD" w:rsidP="00E130A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Equity, </w:t>
            </w:r>
            <w:r w:rsidR="00D141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eserves and </w:t>
            </w:r>
            <w:r w:rsidR="00D141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Treasury Shares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73FF4F60" w14:textId="542FF254" w:rsidR="00E130AD" w:rsidRPr="00E130AD" w:rsidRDefault="00E130AD" w:rsidP="00E130A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Study of basic concepts and computational </w:t>
            </w:r>
            <w:r w:rsidR="00BA1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methods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concerning the capital structure of a company, the process of determining the cost of capital and </w:t>
            </w:r>
            <w:r w:rsidR="00BA1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valuation of shares</w:t>
            </w:r>
            <w:r w:rsidR="00BA1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BA1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 in-depth examination </w:t>
            </w:r>
            <w:r w:rsidR="00BA1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undertaken 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the </w:t>
            </w:r>
            <w:r w:rsidR="00BA1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approaches</w:t>
            </w:r>
            <w:r w:rsidR="00D141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="00D141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proofErr w:type="gramEnd"/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discounted dividends; discounted residual income</w:t>
            </w:r>
            <w:r w:rsidR="00D141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discounted free cash flows</w:t>
            </w:r>
            <w:r w:rsidR="00D141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multiple ratio</w:t>
            </w:r>
            <w:r w:rsidR="00BA1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analysis for the evaluation of equity of a business</w:t>
            </w:r>
            <w:r w:rsidRPr="00E130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2EDCBE4C" w14:textId="0E1597A1" w:rsidR="00E653C1" w:rsidRPr="00316F6C" w:rsidRDefault="00BA18C8" w:rsidP="00E130A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53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course is enriched with a presentation and discussion of examples from the agricultural and food sectors as they emerge from the everyday experience and the contemporary international literature.</w:t>
            </w:r>
          </w:p>
        </w:tc>
      </w:tr>
    </w:tbl>
    <w:p w14:paraId="1226DDBA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 xml:space="preserve">TEACHING and LEARNING METHODS </w:t>
      </w:r>
      <w:proofErr w:type="gramStart"/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>-  Evaluation</w:t>
      </w:r>
      <w:proofErr w:type="gram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E653C1" w:rsidRPr="00A9572F" w14:paraId="2A4763C6" w14:textId="77777777" w:rsidTr="00B25922">
        <w:tc>
          <w:tcPr>
            <w:tcW w:w="3306" w:type="dxa"/>
            <w:shd w:val="clear" w:color="auto" w:fill="DDD9C3"/>
          </w:tcPr>
          <w:p w14:paraId="7814EB7A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METHOD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559AAF64" w14:textId="0E9EDC0F" w:rsidR="00E653C1" w:rsidRPr="00E40003" w:rsidRDefault="00E653C1" w:rsidP="007160A5">
            <w:pP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In </w:t>
            </w:r>
            <w:r w:rsidR="007160A5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auditorium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and in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smaller 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tutorial classes</w:t>
            </w:r>
          </w:p>
        </w:tc>
      </w:tr>
      <w:tr w:rsidR="00E653C1" w:rsidRPr="00A9572F" w14:paraId="4594E53C" w14:textId="77777777" w:rsidTr="00B25922">
        <w:tc>
          <w:tcPr>
            <w:tcW w:w="3306" w:type="dxa"/>
            <w:shd w:val="clear" w:color="auto" w:fill="DDD9C3"/>
          </w:tcPr>
          <w:p w14:paraId="0FCB719C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USE OF INFORMATICS and </w:t>
            </w:r>
            <w:proofErr w:type="gram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COMMUNICATION  TECHNOLOGIES</w:t>
            </w:r>
            <w:proofErr w:type="gramEnd"/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14:paraId="0A17BE2A" w14:textId="68FF24E2" w:rsidR="00811B8A" w:rsidRPr="00811B8A" w:rsidRDefault="00811B8A" w:rsidP="00811B8A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01447F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ll </w:t>
            </w:r>
            <w:proofErr w:type="spellStart"/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powerpoint</w:t>
            </w:r>
            <w:proofErr w:type="spellEnd"/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lecture and tutorial slides 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made available 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on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class</w:t>
            </w:r>
            <w:proofErr w:type="spellEnd"/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prior to the lectures/tutorials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. </w:t>
            </w:r>
          </w:p>
          <w:p w14:paraId="1EEF0EA9" w14:textId="1436C76F" w:rsidR="00811B8A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- If necessary, online classes are provided via MS Teams. All such classes are digitally recorded and uploaded on MS Stream.</w:t>
            </w:r>
          </w:p>
          <w:p w14:paraId="0AD21683" w14:textId="59C8FE15" w:rsidR="0001447F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Communication with students via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Eclass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email </w:t>
            </w:r>
          </w:p>
          <w:p w14:paraId="38B652D7" w14:textId="77777777" w:rsidR="0001447F" w:rsidRPr="00E40003" w:rsidRDefault="0001447F" w:rsidP="00022BE3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</w:tr>
      <w:tr w:rsidR="00E653C1" w:rsidRPr="00E40003" w14:paraId="478AF458" w14:textId="77777777" w:rsidTr="00B25922">
        <w:tc>
          <w:tcPr>
            <w:tcW w:w="3306" w:type="dxa"/>
            <w:shd w:val="clear" w:color="auto" w:fill="DDD9C3"/>
          </w:tcPr>
          <w:p w14:paraId="7C2B148C" w14:textId="77777777" w:rsidR="00E653C1" w:rsidRPr="00E40003" w:rsidRDefault="00E653C1" w:rsidP="00B259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ORGANISATION</w:t>
            </w:r>
          </w:p>
          <w:p w14:paraId="1BC0325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E653C1" w:rsidRPr="00E40003" w14:paraId="09FC1E56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57708C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0856EE5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Work</w:t>
                  </w:r>
                  <w:proofErr w:type="spellEnd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Load</w:t>
                  </w:r>
                  <w:proofErr w:type="spellEnd"/>
                </w:p>
              </w:tc>
            </w:tr>
            <w:tr w:rsidR="00E653C1" w:rsidRPr="00E40003" w14:paraId="24C4D97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4863C" w14:textId="64AA8648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 xml:space="preserve">Lectures </w:t>
                  </w:r>
                  <w:r w:rsidR="00276A2A"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and tutorial classes (exercises)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8018" w14:textId="09F06926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65 h</w:t>
                  </w:r>
                </w:p>
              </w:tc>
            </w:tr>
            <w:tr w:rsidR="00E653C1" w:rsidRPr="00E40003" w14:paraId="30467478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C09D5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Autonomous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1F9BB" w14:textId="470C81B3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60</w:t>
                  </w:r>
                  <w:r w:rsidR="00A10E5C" w:rsidRPr="00E4000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h  </w:t>
                  </w:r>
                </w:p>
              </w:tc>
            </w:tr>
            <w:tr w:rsidR="00E653C1" w:rsidRPr="00E40003" w14:paraId="309EED0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EEB0D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C01D3" w14:textId="31F03FDB" w:rsidR="00E653C1" w:rsidRPr="00E40003" w:rsidRDefault="00811B8A" w:rsidP="00A10E5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125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h</w:t>
                  </w:r>
                  <w:r w:rsidR="00A10E5C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 </w:t>
                  </w:r>
                  <w:r w:rsidR="00666B07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ECTS)</w:t>
                  </w:r>
                </w:p>
              </w:tc>
            </w:tr>
          </w:tbl>
          <w:p w14:paraId="5BF7ABE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A9572F" w14:paraId="2DE0E21C" w14:textId="77777777" w:rsidTr="00952292">
        <w:tc>
          <w:tcPr>
            <w:tcW w:w="3306" w:type="dxa"/>
          </w:tcPr>
          <w:p w14:paraId="38CCA09F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STUDENTS E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VALUATION</w:t>
            </w:r>
          </w:p>
          <w:p w14:paraId="1D3AC6A3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2E30AA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B1C34F6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p w14:paraId="1BBC279E" w14:textId="4E23351B" w:rsidR="00811B8A" w:rsidRDefault="00BA18C8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Homework assignment and presentations counting for 50% of the overall mark.</w:t>
            </w:r>
          </w:p>
          <w:p w14:paraId="62F4385D" w14:textId="77777777" w:rsidR="00BA18C8" w:rsidRPr="007C60D0" w:rsidRDefault="00BA18C8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8684032" w14:textId="55209F12" w:rsidR="00811B8A" w:rsidRDefault="008F6841" w:rsidP="00811B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ritten final examination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counting for </w:t>
            </w:r>
            <w:r w:rsidR="00BA1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% of the overall mark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276A2A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- Multiple-choice questions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C60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examining both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theory and practice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assessment criteria are explicitly defined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tudents have access to their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papers (written and archived).</w:t>
            </w:r>
          </w:p>
          <w:p w14:paraId="54286CC0" w14:textId="4273790F" w:rsidR="00A9240F" w:rsidRPr="00E40003" w:rsidRDefault="00A9240F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74F1647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A9572F" w14:paraId="7940C5D9" w14:textId="77777777" w:rsidTr="00952292">
        <w:tc>
          <w:tcPr>
            <w:tcW w:w="8472" w:type="dxa"/>
          </w:tcPr>
          <w:p w14:paraId="3DCB6D7B" w14:textId="77777777" w:rsidR="00DE0726" w:rsidRPr="00E40003" w:rsidRDefault="00DE0726" w:rsidP="00B11EED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3EE56" w14:textId="6D83DA68" w:rsidR="00DE0726" w:rsidRPr="00E40003" w:rsidRDefault="00DE0726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Proposed Textbook(s) for the course</w:t>
            </w:r>
            <w:r w:rsidR="00811B8A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(in Greek)</w:t>
            </w: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461DEF8A" w14:textId="77777777" w:rsidR="00BA18C8" w:rsidRPr="00313628" w:rsidRDefault="00BA18C8" w:rsidP="00BA18C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13628">
              <w:rPr>
                <w:rFonts w:cstheme="minorHAnsi"/>
                <w:sz w:val="20"/>
                <w:szCs w:val="20"/>
              </w:rPr>
              <w:t xml:space="preserve">- </w:t>
            </w:r>
            <w:r w:rsidRPr="00313628">
              <w:rPr>
                <w:rFonts w:cstheme="minorHAnsi"/>
                <w:sz w:val="20"/>
                <w:szCs w:val="20"/>
                <w:lang w:val="en-US"/>
              </w:rPr>
              <w:t>Subramanyam</w:t>
            </w:r>
            <w:r w:rsidRPr="00313628">
              <w:rPr>
                <w:rFonts w:cstheme="minorHAnsi"/>
                <w:sz w:val="20"/>
                <w:szCs w:val="20"/>
              </w:rPr>
              <w:t xml:space="preserve"> </w:t>
            </w:r>
            <w:r w:rsidRPr="00313628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313628">
              <w:rPr>
                <w:rFonts w:cstheme="minorHAnsi"/>
                <w:sz w:val="20"/>
                <w:szCs w:val="20"/>
              </w:rPr>
              <w:t xml:space="preserve">. </w:t>
            </w:r>
            <w:r w:rsidRPr="00313628">
              <w:rPr>
                <w:rFonts w:cstheme="minorHAnsi"/>
                <w:sz w:val="20"/>
                <w:szCs w:val="20"/>
                <w:lang w:val="en-US"/>
              </w:rPr>
              <w:t>K</w:t>
            </w:r>
            <w:r w:rsidRPr="00313628">
              <w:rPr>
                <w:rFonts w:cstheme="minorHAnsi"/>
                <w:sz w:val="20"/>
                <w:szCs w:val="20"/>
              </w:rPr>
              <w:t>. 2017. Ανάλυση Χρηματοοικονομικών Καταστάσεων. (</w:t>
            </w:r>
            <w:proofErr w:type="spellStart"/>
            <w:r w:rsidRPr="00313628">
              <w:rPr>
                <w:rFonts w:cstheme="minorHAnsi"/>
                <w:sz w:val="20"/>
                <w:szCs w:val="20"/>
              </w:rPr>
              <w:t>επιμ</w:t>
            </w:r>
            <w:proofErr w:type="spellEnd"/>
            <w:r w:rsidRPr="00313628">
              <w:rPr>
                <w:rFonts w:cstheme="minorHAnsi"/>
                <w:sz w:val="20"/>
                <w:szCs w:val="20"/>
              </w:rPr>
              <w:t xml:space="preserve">.) Γ. </w:t>
            </w:r>
            <w:proofErr w:type="spellStart"/>
            <w:r w:rsidRPr="00313628">
              <w:rPr>
                <w:rFonts w:cstheme="minorHAnsi"/>
                <w:sz w:val="20"/>
                <w:szCs w:val="20"/>
              </w:rPr>
              <w:t>Χαρδούβελης</w:t>
            </w:r>
            <w:proofErr w:type="spellEnd"/>
            <w:r w:rsidRPr="00313628">
              <w:rPr>
                <w:rFonts w:cstheme="minorHAnsi"/>
                <w:sz w:val="20"/>
                <w:szCs w:val="20"/>
              </w:rPr>
              <w:t xml:space="preserve">, Γ. </w:t>
            </w:r>
            <w:proofErr w:type="spellStart"/>
            <w:r w:rsidRPr="00313628">
              <w:rPr>
                <w:rFonts w:cstheme="minorHAnsi"/>
                <w:sz w:val="20"/>
                <w:szCs w:val="20"/>
              </w:rPr>
              <w:t>Παπαναστασόπουλος</w:t>
            </w:r>
            <w:proofErr w:type="spellEnd"/>
            <w:r w:rsidRPr="00313628">
              <w:rPr>
                <w:rFonts w:cstheme="minorHAnsi"/>
                <w:sz w:val="20"/>
                <w:szCs w:val="20"/>
              </w:rPr>
              <w:t xml:space="preserve">, Δ. Τζελέπης, Κ. Κοσμίδου. </w:t>
            </w:r>
            <w:r w:rsidRPr="00313628">
              <w:rPr>
                <w:rFonts w:cstheme="minorHAnsi"/>
                <w:sz w:val="20"/>
                <w:szCs w:val="20"/>
                <w:lang w:val="en-US"/>
              </w:rPr>
              <w:t>Nicosia</w:t>
            </w:r>
            <w:r w:rsidRPr="00313628">
              <w:rPr>
                <w:rFonts w:cstheme="minorHAnsi"/>
                <w:sz w:val="20"/>
                <w:szCs w:val="20"/>
              </w:rPr>
              <w:t xml:space="preserve">, </w:t>
            </w:r>
            <w:r w:rsidRPr="00313628">
              <w:rPr>
                <w:rFonts w:cstheme="minorHAnsi"/>
                <w:sz w:val="20"/>
                <w:szCs w:val="20"/>
                <w:lang w:val="en-US"/>
              </w:rPr>
              <w:t>Cyprus</w:t>
            </w:r>
            <w:r w:rsidRPr="00313628">
              <w:rPr>
                <w:rFonts w:cstheme="minorHAnsi"/>
                <w:sz w:val="20"/>
                <w:szCs w:val="20"/>
              </w:rPr>
              <w:t xml:space="preserve">: </w:t>
            </w:r>
            <w:r w:rsidRPr="00313628">
              <w:rPr>
                <w:rFonts w:cstheme="minorHAnsi"/>
                <w:sz w:val="20"/>
                <w:szCs w:val="20"/>
                <w:lang w:val="en-US"/>
              </w:rPr>
              <w:t>Broken</w:t>
            </w:r>
            <w:r w:rsidRPr="00313628">
              <w:rPr>
                <w:rFonts w:cstheme="minorHAnsi"/>
                <w:sz w:val="20"/>
                <w:szCs w:val="20"/>
              </w:rPr>
              <w:t xml:space="preserve"> </w:t>
            </w:r>
            <w:r w:rsidRPr="00313628">
              <w:rPr>
                <w:rFonts w:cstheme="minorHAnsi"/>
                <w:sz w:val="20"/>
                <w:szCs w:val="20"/>
                <w:lang w:val="en-US"/>
              </w:rPr>
              <w:t>Hill</w:t>
            </w:r>
            <w:r w:rsidRPr="00313628">
              <w:rPr>
                <w:rFonts w:cstheme="minorHAnsi"/>
                <w:sz w:val="20"/>
                <w:szCs w:val="20"/>
              </w:rPr>
              <w:t xml:space="preserve">, Αθήνα: Εκδόσεις Πασχαλίδης. </w:t>
            </w:r>
          </w:p>
          <w:p w14:paraId="057B647E" w14:textId="77777777" w:rsidR="00BA18C8" w:rsidRPr="00313628" w:rsidRDefault="00BA18C8" w:rsidP="00BA18C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13628"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Pr="00313628">
              <w:rPr>
                <w:rFonts w:cstheme="minorHAnsi"/>
                <w:sz w:val="20"/>
                <w:szCs w:val="20"/>
                <w:lang w:val="en-US"/>
              </w:rPr>
              <w:t>Damodaran</w:t>
            </w:r>
            <w:r w:rsidRPr="00313628">
              <w:rPr>
                <w:rFonts w:cstheme="minorHAnsi"/>
                <w:sz w:val="20"/>
                <w:szCs w:val="20"/>
              </w:rPr>
              <w:t xml:space="preserve"> </w:t>
            </w:r>
            <w:r w:rsidRPr="00313628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313628">
              <w:rPr>
                <w:rFonts w:cstheme="minorHAnsi"/>
                <w:sz w:val="20"/>
                <w:szCs w:val="20"/>
              </w:rPr>
              <w:t>. 2014. Εφαρμοσμένη Χρηματοοικονομική για Επιχειρήσεις. (</w:t>
            </w:r>
            <w:proofErr w:type="spellStart"/>
            <w:r w:rsidRPr="00313628">
              <w:rPr>
                <w:rFonts w:cstheme="minorHAnsi"/>
                <w:sz w:val="20"/>
                <w:szCs w:val="20"/>
              </w:rPr>
              <w:t>επιμ</w:t>
            </w:r>
            <w:proofErr w:type="spellEnd"/>
            <w:r w:rsidRPr="00313628">
              <w:rPr>
                <w:rFonts w:cstheme="minorHAnsi"/>
                <w:sz w:val="20"/>
                <w:szCs w:val="20"/>
              </w:rPr>
              <w:t xml:space="preserve">) Ε. </w:t>
            </w:r>
            <w:proofErr w:type="spellStart"/>
            <w:r w:rsidRPr="00313628">
              <w:rPr>
                <w:rFonts w:cstheme="minorHAnsi"/>
                <w:sz w:val="20"/>
                <w:szCs w:val="20"/>
              </w:rPr>
              <w:t>Τσιριτάκης</w:t>
            </w:r>
            <w:proofErr w:type="spellEnd"/>
            <w:r w:rsidRPr="00313628">
              <w:rPr>
                <w:rFonts w:cstheme="minorHAnsi"/>
                <w:sz w:val="20"/>
                <w:szCs w:val="20"/>
              </w:rPr>
              <w:t xml:space="preserve">, Τ. Αγγελίδης, Α. </w:t>
            </w:r>
            <w:proofErr w:type="spellStart"/>
            <w:r w:rsidRPr="00313628">
              <w:rPr>
                <w:rFonts w:cstheme="minorHAnsi"/>
                <w:sz w:val="20"/>
                <w:szCs w:val="20"/>
              </w:rPr>
              <w:t>Ζαπράνης</w:t>
            </w:r>
            <w:proofErr w:type="spellEnd"/>
            <w:r w:rsidRPr="00313628">
              <w:rPr>
                <w:rFonts w:cstheme="minorHAnsi"/>
                <w:sz w:val="20"/>
                <w:szCs w:val="20"/>
              </w:rPr>
              <w:t xml:space="preserve">. </w:t>
            </w:r>
            <w:r w:rsidRPr="00313628">
              <w:rPr>
                <w:rFonts w:cstheme="minorHAnsi"/>
                <w:sz w:val="20"/>
                <w:szCs w:val="20"/>
                <w:lang w:val="en-US"/>
              </w:rPr>
              <w:t>Nicosia</w:t>
            </w:r>
            <w:r w:rsidRPr="00313628">
              <w:rPr>
                <w:rFonts w:cstheme="minorHAnsi"/>
                <w:sz w:val="20"/>
                <w:szCs w:val="20"/>
              </w:rPr>
              <w:t xml:space="preserve">, </w:t>
            </w:r>
            <w:r w:rsidRPr="00313628">
              <w:rPr>
                <w:rFonts w:cstheme="minorHAnsi"/>
                <w:sz w:val="20"/>
                <w:szCs w:val="20"/>
                <w:lang w:val="en-US"/>
              </w:rPr>
              <w:t>Cyprus</w:t>
            </w:r>
            <w:r w:rsidRPr="00313628">
              <w:rPr>
                <w:rFonts w:cstheme="minorHAnsi"/>
                <w:sz w:val="20"/>
                <w:szCs w:val="20"/>
              </w:rPr>
              <w:t xml:space="preserve">: </w:t>
            </w:r>
            <w:r w:rsidRPr="00313628">
              <w:rPr>
                <w:rFonts w:cstheme="minorHAnsi"/>
                <w:sz w:val="20"/>
                <w:szCs w:val="20"/>
                <w:lang w:val="en-US"/>
              </w:rPr>
              <w:t>Broken</w:t>
            </w:r>
            <w:r w:rsidRPr="00313628">
              <w:rPr>
                <w:rFonts w:cstheme="minorHAnsi"/>
                <w:sz w:val="20"/>
                <w:szCs w:val="20"/>
              </w:rPr>
              <w:t xml:space="preserve"> </w:t>
            </w:r>
            <w:r w:rsidRPr="00313628">
              <w:rPr>
                <w:rFonts w:cstheme="minorHAnsi"/>
                <w:sz w:val="20"/>
                <w:szCs w:val="20"/>
                <w:lang w:val="en-US"/>
              </w:rPr>
              <w:t>Hill</w:t>
            </w:r>
            <w:r w:rsidRPr="00313628">
              <w:rPr>
                <w:rFonts w:cstheme="minorHAnsi"/>
                <w:sz w:val="20"/>
                <w:szCs w:val="20"/>
              </w:rPr>
              <w:t xml:space="preserve">, Αθήνα: Εκδόσεις Πασχαλίδης. </w:t>
            </w:r>
          </w:p>
          <w:p w14:paraId="69CAE3B4" w14:textId="77777777" w:rsidR="00BA18C8" w:rsidRPr="008F40FE" w:rsidRDefault="00BA18C8" w:rsidP="00BA18C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13628">
              <w:rPr>
                <w:rFonts w:cstheme="minorHAnsi"/>
                <w:sz w:val="20"/>
                <w:szCs w:val="20"/>
              </w:rPr>
              <w:t>- Θεοδοσίου Π. 2019. Χρηματοοικονομική Ανάλυση και Εφαρμογές. Σοφία</w:t>
            </w:r>
          </w:p>
          <w:p w14:paraId="36AC5F49" w14:textId="77777777" w:rsidR="00525213" w:rsidRPr="008F40FE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1264D737" w14:textId="45507603" w:rsidR="00DE0726" w:rsidRPr="00811B8A" w:rsidRDefault="00DE0726" w:rsidP="00B11EED">
            <w:pPr>
              <w:pStyle w:val="Heading3"/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Suggested additional bibliography (optional)</w:t>
            </w:r>
            <w:r w:rsidRPr="00811B8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:</w:t>
            </w:r>
          </w:p>
          <w:p w14:paraId="530821BB" w14:textId="77777777" w:rsidR="00BA18C8" w:rsidRPr="00A007A1" w:rsidRDefault="00BA18C8" w:rsidP="00BA18C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NL"/>
              </w:rPr>
            </w:pPr>
            <w:r w:rsidRPr="00A007A1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007A1">
              <w:rPr>
                <w:rFonts w:cstheme="minorHAnsi"/>
                <w:sz w:val="20"/>
                <w:szCs w:val="20"/>
              </w:rPr>
              <w:t xml:space="preserve">Βασιλείου, Δ. και </w:t>
            </w:r>
            <w:proofErr w:type="spellStart"/>
            <w:r w:rsidRPr="00A007A1">
              <w:rPr>
                <w:rFonts w:cstheme="minorHAnsi"/>
                <w:sz w:val="20"/>
                <w:szCs w:val="20"/>
              </w:rPr>
              <w:t>Ηρειώτης</w:t>
            </w:r>
            <w:proofErr w:type="spellEnd"/>
            <w:r w:rsidRPr="00A007A1">
              <w:rPr>
                <w:rFonts w:cstheme="minorHAnsi"/>
                <w:sz w:val="20"/>
                <w:szCs w:val="20"/>
              </w:rPr>
              <w:t>, Ν. 2018. Ανάλυση Επενδύσεων και Διαχείριση Χαρτοφυλακίου. 2</w:t>
            </w:r>
            <w:r w:rsidRPr="00A007A1">
              <w:rPr>
                <w:rFonts w:cstheme="minorHAnsi"/>
                <w:sz w:val="20"/>
                <w:szCs w:val="20"/>
                <w:vertAlign w:val="superscript"/>
              </w:rPr>
              <w:t>η</w:t>
            </w:r>
            <w:r w:rsidRPr="00A007A1">
              <w:rPr>
                <w:rFonts w:cstheme="minorHAnsi"/>
                <w:sz w:val="20"/>
                <w:szCs w:val="20"/>
              </w:rPr>
              <w:t xml:space="preserve"> Έκδοση. Εκδόσεις: </w:t>
            </w:r>
            <w:proofErr w:type="spellStart"/>
            <w:r w:rsidRPr="00A007A1">
              <w:rPr>
                <w:rFonts w:cstheme="minorHAnsi"/>
                <w:sz w:val="20"/>
                <w:szCs w:val="20"/>
                <w:lang w:val="en-US"/>
              </w:rPr>
              <w:t>Rosili</w:t>
            </w:r>
            <w:proofErr w:type="spellEnd"/>
            <w:r w:rsidRPr="00A007A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A02EFF3" w14:textId="77777777" w:rsidR="00A007A1" w:rsidRPr="00A007A1" w:rsidRDefault="00BA18C8" w:rsidP="00BA18C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NL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007A1">
              <w:rPr>
                <w:rFonts w:cstheme="minorHAnsi"/>
                <w:sz w:val="20"/>
                <w:szCs w:val="20"/>
              </w:rPr>
              <w:t xml:space="preserve">Σπάθης Π., Τσιμπούκας Κ. 2010. Οικονομική των Επιχειρήσεων. </w:t>
            </w:r>
            <w:proofErr w:type="spellStart"/>
            <w:r w:rsidRPr="00A007A1">
              <w:rPr>
                <w:rFonts w:cstheme="minorHAnsi"/>
                <w:sz w:val="20"/>
                <w:szCs w:val="20"/>
              </w:rPr>
              <w:t>Ελληνοεκδοτική</w:t>
            </w:r>
            <w:proofErr w:type="spellEnd"/>
            <w:r w:rsidRPr="00A007A1">
              <w:rPr>
                <w:rFonts w:cstheme="minorHAnsi"/>
                <w:sz w:val="20"/>
                <w:szCs w:val="20"/>
              </w:rPr>
              <w:t>. ΑΘΗΝΑ</w:t>
            </w:r>
          </w:p>
          <w:p w14:paraId="5DBC487E" w14:textId="77777777" w:rsidR="00A007A1" w:rsidRPr="00A007A1" w:rsidRDefault="00BA18C8" w:rsidP="00BA18C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NL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007A1">
              <w:rPr>
                <w:rFonts w:cstheme="minorHAnsi"/>
                <w:sz w:val="20"/>
                <w:szCs w:val="20"/>
              </w:rPr>
              <w:t xml:space="preserve">Φίλιος Φ. Β. 2008. Ανάλυση Λογιστικών Καταστάσεων και </w:t>
            </w:r>
            <w:proofErr w:type="spellStart"/>
            <w:r w:rsidRPr="00A007A1">
              <w:rPr>
                <w:rFonts w:cstheme="minorHAnsi"/>
                <w:sz w:val="20"/>
                <w:szCs w:val="20"/>
              </w:rPr>
              <w:t>Αποτιμητική</w:t>
            </w:r>
            <w:proofErr w:type="spellEnd"/>
            <w:r w:rsidRPr="00A007A1">
              <w:rPr>
                <w:rFonts w:cstheme="minorHAnsi"/>
                <w:sz w:val="20"/>
                <w:szCs w:val="20"/>
              </w:rPr>
              <w:t xml:space="preserve"> (Εκτιμητική). Σύγχρονη Εκδοτική. Αθήνα.</w:t>
            </w:r>
          </w:p>
          <w:p w14:paraId="1B35F67F" w14:textId="77777777" w:rsidR="00A007A1" w:rsidRPr="00A007A1" w:rsidRDefault="00BA18C8" w:rsidP="00BA18C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NL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007A1">
              <w:rPr>
                <w:rFonts w:cstheme="minorHAnsi"/>
                <w:sz w:val="20"/>
                <w:szCs w:val="20"/>
              </w:rPr>
              <w:t>Φίλιος Φ. Β. 1996. Χρηματοοικονομική Ανάλυση. Σύγχρονη Εκδοτική. Αθήνα</w:t>
            </w:r>
            <w:r w:rsidRPr="00A007A1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003E2F1F" w14:textId="77777777" w:rsidR="00A007A1" w:rsidRPr="00A007A1" w:rsidRDefault="00BA18C8" w:rsidP="00BA18C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NL"/>
              </w:rPr>
            </w:pPr>
            <w:r w:rsidRPr="00BA18C8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Pr="00A007A1">
              <w:rPr>
                <w:rFonts w:cstheme="minorHAnsi"/>
                <w:sz w:val="20"/>
                <w:szCs w:val="20"/>
                <w:lang w:val="en-US"/>
              </w:rPr>
              <w:t xml:space="preserve">Palepu G. K., Healy M. P. &amp; Peek E. 2016. Business Analysis &amp; Valuation; IFRS Edition. </w:t>
            </w:r>
            <w:r w:rsidRPr="00A007A1">
              <w:rPr>
                <w:rFonts w:cstheme="minorHAnsi"/>
                <w:sz w:val="20"/>
                <w:szCs w:val="20"/>
              </w:rPr>
              <w:t>4</w:t>
            </w:r>
            <w:r w:rsidRPr="00A007A1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A007A1">
              <w:rPr>
                <w:rFonts w:cstheme="minorHAnsi"/>
                <w:sz w:val="20"/>
                <w:szCs w:val="20"/>
              </w:rPr>
              <w:t xml:space="preserve">. </w:t>
            </w:r>
            <w:r w:rsidRPr="00A007A1">
              <w:rPr>
                <w:rFonts w:cstheme="minorHAnsi"/>
                <w:sz w:val="20"/>
                <w:szCs w:val="20"/>
                <w:lang w:val="en-US"/>
              </w:rPr>
              <w:t>CENGAGE</w:t>
            </w:r>
            <w:r w:rsidRPr="00A007A1">
              <w:rPr>
                <w:rFonts w:cstheme="minorHAnsi"/>
                <w:sz w:val="20"/>
                <w:szCs w:val="20"/>
              </w:rPr>
              <w:t xml:space="preserve"> </w:t>
            </w:r>
            <w:r w:rsidRPr="00A007A1">
              <w:rPr>
                <w:rFonts w:cstheme="minorHAnsi"/>
                <w:sz w:val="20"/>
                <w:szCs w:val="20"/>
                <w:lang w:val="en-US"/>
              </w:rPr>
              <w:t>Learning</w:t>
            </w:r>
            <w:r w:rsidRPr="00A007A1">
              <w:rPr>
                <w:rFonts w:cstheme="minorHAnsi"/>
                <w:sz w:val="20"/>
                <w:szCs w:val="20"/>
              </w:rPr>
              <w:t>.</w:t>
            </w:r>
          </w:p>
          <w:p w14:paraId="6CA26897" w14:textId="77777777" w:rsidR="00A007A1" w:rsidRPr="00A007A1" w:rsidRDefault="00BA18C8" w:rsidP="00BA18C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NL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007A1">
              <w:rPr>
                <w:rFonts w:cstheme="minorHAnsi"/>
                <w:sz w:val="20"/>
                <w:szCs w:val="20"/>
                <w:lang w:val="en-NL"/>
              </w:rPr>
              <w:t>Ross S., Westerfield W. R.</w:t>
            </w:r>
            <w:r w:rsidRPr="00A007A1">
              <w:rPr>
                <w:rFonts w:cstheme="minorHAnsi"/>
                <w:sz w:val="20"/>
                <w:szCs w:val="20"/>
              </w:rPr>
              <w:t xml:space="preserve"> 2016. Χρηματοοικονομική των Επιχειρήσεων. (</w:t>
            </w:r>
            <w:proofErr w:type="spellStart"/>
            <w:r w:rsidRPr="00A007A1">
              <w:rPr>
                <w:rFonts w:cstheme="minorHAnsi"/>
                <w:sz w:val="20"/>
                <w:szCs w:val="20"/>
              </w:rPr>
              <w:t>επιμ</w:t>
            </w:r>
            <w:proofErr w:type="spellEnd"/>
            <w:r w:rsidRPr="00A007A1">
              <w:rPr>
                <w:rFonts w:cstheme="minorHAnsi"/>
                <w:sz w:val="20"/>
                <w:szCs w:val="20"/>
              </w:rPr>
              <w:t xml:space="preserve">.) Αγγελίδης Τ., </w:t>
            </w:r>
            <w:proofErr w:type="spellStart"/>
            <w:r w:rsidRPr="00A007A1">
              <w:rPr>
                <w:rFonts w:cstheme="minorHAnsi"/>
                <w:sz w:val="20"/>
                <w:szCs w:val="20"/>
              </w:rPr>
              <w:t>Αρτίκης</w:t>
            </w:r>
            <w:proofErr w:type="spellEnd"/>
            <w:r w:rsidRPr="00A007A1">
              <w:rPr>
                <w:rFonts w:cstheme="minorHAnsi"/>
                <w:sz w:val="20"/>
                <w:szCs w:val="20"/>
              </w:rPr>
              <w:t xml:space="preserve"> Π, Ελευθεριάδης Ι, Κοσμίδου Κ., </w:t>
            </w:r>
            <w:proofErr w:type="spellStart"/>
            <w:r w:rsidRPr="00A007A1">
              <w:rPr>
                <w:rFonts w:cstheme="minorHAnsi"/>
                <w:sz w:val="20"/>
                <w:szCs w:val="20"/>
              </w:rPr>
              <w:t>Τσιριτάκης</w:t>
            </w:r>
            <w:proofErr w:type="spellEnd"/>
            <w:r w:rsidRPr="00A007A1">
              <w:rPr>
                <w:rFonts w:cstheme="minorHAnsi"/>
                <w:sz w:val="20"/>
                <w:szCs w:val="20"/>
              </w:rPr>
              <w:t xml:space="preserve"> Ε, Φλώρος Χ. </w:t>
            </w:r>
            <w:r w:rsidRPr="00A007A1">
              <w:rPr>
                <w:rFonts w:cstheme="minorHAnsi"/>
                <w:sz w:val="20"/>
                <w:szCs w:val="20"/>
                <w:lang w:val="en-US"/>
              </w:rPr>
              <w:t>Nicosia</w:t>
            </w:r>
            <w:r w:rsidRPr="00A007A1">
              <w:rPr>
                <w:rFonts w:cstheme="minorHAnsi"/>
                <w:sz w:val="20"/>
                <w:szCs w:val="20"/>
              </w:rPr>
              <w:t xml:space="preserve">, </w:t>
            </w:r>
            <w:r w:rsidRPr="00A007A1">
              <w:rPr>
                <w:rFonts w:cstheme="minorHAnsi"/>
                <w:sz w:val="20"/>
                <w:szCs w:val="20"/>
                <w:lang w:val="en-US"/>
              </w:rPr>
              <w:t>Cyprus</w:t>
            </w:r>
            <w:r w:rsidRPr="00A007A1">
              <w:rPr>
                <w:rFonts w:cstheme="minorHAnsi"/>
                <w:sz w:val="20"/>
                <w:szCs w:val="20"/>
              </w:rPr>
              <w:t xml:space="preserve">: </w:t>
            </w:r>
            <w:r w:rsidRPr="00A007A1">
              <w:rPr>
                <w:rFonts w:cstheme="minorHAnsi"/>
                <w:sz w:val="20"/>
                <w:szCs w:val="20"/>
                <w:lang w:val="en-US"/>
              </w:rPr>
              <w:t>Broken</w:t>
            </w:r>
            <w:r w:rsidRPr="00A007A1">
              <w:rPr>
                <w:rFonts w:cstheme="minorHAnsi"/>
                <w:sz w:val="20"/>
                <w:szCs w:val="20"/>
              </w:rPr>
              <w:t xml:space="preserve"> </w:t>
            </w:r>
            <w:r w:rsidRPr="00A007A1">
              <w:rPr>
                <w:rFonts w:cstheme="minorHAnsi"/>
                <w:sz w:val="20"/>
                <w:szCs w:val="20"/>
                <w:lang w:val="en-US"/>
              </w:rPr>
              <w:t>Hill</w:t>
            </w:r>
            <w:r w:rsidRPr="00A007A1">
              <w:rPr>
                <w:rFonts w:cstheme="minorHAnsi"/>
                <w:sz w:val="20"/>
                <w:szCs w:val="20"/>
              </w:rPr>
              <w:t xml:space="preserve">, Αθήνα: Εκδόσεις Πασχαλίδης. </w:t>
            </w:r>
          </w:p>
          <w:p w14:paraId="12E7E32A" w14:textId="6951BADB" w:rsidR="00811B8A" w:rsidRPr="00BA18C8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</w:p>
          <w:p w14:paraId="4D13BEB1" w14:textId="413DECEE" w:rsid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Key academic journals</w:t>
            </w:r>
          </w:p>
          <w:p w14:paraId="09499043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Organizations &amp; Society (Rank: Association of Business Schools Journal List 4*)</w:t>
            </w:r>
          </w:p>
          <w:p w14:paraId="66301E00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&amp; Economics (Rank: Association of Business Schools Journal List 4*)</w:t>
            </w:r>
          </w:p>
          <w:p w14:paraId="5EFBC0A9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Research (Rank: Association of Business Schools Journal List 4*)</w:t>
            </w:r>
          </w:p>
          <w:p w14:paraId="7B1B0B5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The Accounting Review (Rank: Association of Business Schools Journal List 4*)</w:t>
            </w:r>
          </w:p>
          <w:p w14:paraId="578F747B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Contemporary Accounting Research (Rank: Association of Business Schools Journal List 4)</w:t>
            </w:r>
          </w:p>
          <w:p w14:paraId="35746508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Review of Accounting Studies (Rank: Association of Business Schools Journal List 4)</w:t>
            </w:r>
          </w:p>
          <w:p w14:paraId="4D54AF49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Abacus (Rank: Association of Business Schools Journal List 3)</w:t>
            </w:r>
          </w:p>
          <w:p w14:paraId="44D55305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Accounting, Auditing &amp; Accountability Journal (Rank: Association of Business Schools Journal List 3)</w:t>
            </w:r>
          </w:p>
          <w:p w14:paraId="46DEB5F1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&amp; Business Research (Rank: Association of Business Schools Journal List 3)</w:t>
            </w:r>
          </w:p>
          <w:p w14:paraId="68F6B132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Horizons (Rank: Association of Business Schools Journal List 3)</w:t>
            </w:r>
          </w:p>
          <w:p w14:paraId="5AF8B26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Forum (Rank: Association of Business Schools Journal List 3)</w:t>
            </w:r>
          </w:p>
          <w:p w14:paraId="11E171E4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British Accounting Review (Rank: Association of Business Schools Journal List 3)</w:t>
            </w:r>
          </w:p>
          <w:p w14:paraId="10DAE217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Critical Perspectives on Accounting (Rank: Association of Business Schools Journal List 3)</w:t>
            </w:r>
          </w:p>
          <w:p w14:paraId="382050E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European Accounting Review (Rank: Association of Business Schools Journal List 3)</w:t>
            </w:r>
          </w:p>
          <w:p w14:paraId="4ACD0290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International Journal of Accounting (Rank: Association of Business Schools Journal List 3)</w:t>
            </w:r>
          </w:p>
          <w:p w14:paraId="35E83B2F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Ethics (Rank: Association of Business Schools Journal List 3)</w:t>
            </w:r>
          </w:p>
          <w:p w14:paraId="293350FE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Finance &amp; Accounting (Rank: Association of Business Schools Journal List 3)</w:t>
            </w:r>
          </w:p>
          <w:p w14:paraId="30B6EEB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Management Accounting Research (Rank: Association of Business Schools Journal List 3)</w:t>
            </w:r>
          </w:p>
          <w:p w14:paraId="78ABFE1E" w14:textId="50B4D0CC" w:rsidR="00E653C1" w:rsidRPr="00CE4957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Public Money &amp; Management (Rank: Association of Business Schools Journal List 2)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NL"/>
              </w:rPr>
              <w:t xml:space="preserve"> </w:t>
            </w:r>
          </w:p>
        </w:tc>
      </w:tr>
    </w:tbl>
    <w:p w14:paraId="44F306E6" w14:textId="77777777" w:rsidR="00E653C1" w:rsidRPr="00E40003" w:rsidRDefault="00E653C1" w:rsidP="00B11EED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sectPr w:rsidR="00E653C1" w:rsidRPr="00E40003" w:rsidSect="00096AF5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F84626E"/>
    <w:multiLevelType w:val="hybridMultilevel"/>
    <w:tmpl w:val="B66E2260"/>
    <w:lvl w:ilvl="0" w:tplc="3BCA2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F006F"/>
    <w:multiLevelType w:val="hybridMultilevel"/>
    <w:tmpl w:val="B698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1FA5"/>
    <w:multiLevelType w:val="hybridMultilevel"/>
    <w:tmpl w:val="0058925C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46A41"/>
    <w:multiLevelType w:val="hybridMultilevel"/>
    <w:tmpl w:val="3D487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49BF"/>
    <w:multiLevelType w:val="hybridMultilevel"/>
    <w:tmpl w:val="CE6A5500"/>
    <w:lvl w:ilvl="0" w:tplc="3C9A5F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4173"/>
    <w:multiLevelType w:val="hybridMultilevel"/>
    <w:tmpl w:val="2B9C7AE2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33341"/>
    <w:multiLevelType w:val="hybridMultilevel"/>
    <w:tmpl w:val="012691F6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C19D9"/>
    <w:multiLevelType w:val="hybridMultilevel"/>
    <w:tmpl w:val="B2B078AC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3B80E78"/>
    <w:multiLevelType w:val="hybridMultilevel"/>
    <w:tmpl w:val="8EA4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50E42"/>
    <w:multiLevelType w:val="hybridMultilevel"/>
    <w:tmpl w:val="627CC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030F"/>
    <w:multiLevelType w:val="hybridMultilevel"/>
    <w:tmpl w:val="434AFEDE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358C"/>
    <w:multiLevelType w:val="hybridMultilevel"/>
    <w:tmpl w:val="E194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2D65"/>
    <w:multiLevelType w:val="hybridMultilevel"/>
    <w:tmpl w:val="71E6066E"/>
    <w:lvl w:ilvl="0" w:tplc="1902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6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8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C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5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82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6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F8516B"/>
    <w:multiLevelType w:val="hybridMultilevel"/>
    <w:tmpl w:val="7344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E65A2"/>
    <w:multiLevelType w:val="hybridMultilevel"/>
    <w:tmpl w:val="7B7CB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A0F91"/>
    <w:multiLevelType w:val="hybridMultilevel"/>
    <w:tmpl w:val="9D8EE6F8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AA20D4"/>
    <w:multiLevelType w:val="hybridMultilevel"/>
    <w:tmpl w:val="4DA40C8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59C4"/>
    <w:multiLevelType w:val="hybridMultilevel"/>
    <w:tmpl w:val="FB50B642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5A3B516E"/>
    <w:multiLevelType w:val="hybridMultilevel"/>
    <w:tmpl w:val="6A9A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56FF8"/>
    <w:multiLevelType w:val="hybridMultilevel"/>
    <w:tmpl w:val="BAC23A16"/>
    <w:lvl w:ilvl="0" w:tplc="90360E9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E507174"/>
    <w:multiLevelType w:val="hybridMultilevel"/>
    <w:tmpl w:val="911C52B0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 w15:restartNumberingAfterBreak="0">
    <w:nsid w:val="642B1684"/>
    <w:multiLevelType w:val="hybridMultilevel"/>
    <w:tmpl w:val="9A6A4C38"/>
    <w:lvl w:ilvl="0" w:tplc="DF148750">
      <w:start w:val="1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6BAF5992"/>
    <w:multiLevelType w:val="hybridMultilevel"/>
    <w:tmpl w:val="F834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642AD"/>
    <w:multiLevelType w:val="hybridMultilevel"/>
    <w:tmpl w:val="46F454D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FD63EB3"/>
    <w:multiLevelType w:val="hybridMultilevel"/>
    <w:tmpl w:val="5FAA759A"/>
    <w:lvl w:ilvl="0" w:tplc="D4567F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C4FB2"/>
    <w:multiLevelType w:val="hybridMultilevel"/>
    <w:tmpl w:val="5F3CFDDA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53022"/>
    <w:multiLevelType w:val="hybridMultilevel"/>
    <w:tmpl w:val="769CC426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F54BF"/>
    <w:multiLevelType w:val="hybridMultilevel"/>
    <w:tmpl w:val="CEA6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C5798"/>
    <w:multiLevelType w:val="hybridMultilevel"/>
    <w:tmpl w:val="35B4CAD2"/>
    <w:lvl w:ilvl="0" w:tplc="64020A8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B55CF"/>
    <w:multiLevelType w:val="hybridMultilevel"/>
    <w:tmpl w:val="429EF394"/>
    <w:lvl w:ilvl="0" w:tplc="142A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E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0A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A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A2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CD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2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26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4D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DF57E74"/>
    <w:multiLevelType w:val="hybridMultilevel"/>
    <w:tmpl w:val="0C34A26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B7371"/>
    <w:multiLevelType w:val="hybridMultilevel"/>
    <w:tmpl w:val="2D5C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0"/>
  </w:num>
  <w:num w:numId="4">
    <w:abstractNumId w:val="17"/>
  </w:num>
  <w:num w:numId="5">
    <w:abstractNumId w:val="40"/>
  </w:num>
  <w:num w:numId="6">
    <w:abstractNumId w:val="12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6"/>
  </w:num>
  <w:num w:numId="14">
    <w:abstractNumId w:val="32"/>
  </w:num>
  <w:num w:numId="15">
    <w:abstractNumId w:val="20"/>
  </w:num>
  <w:num w:numId="16">
    <w:abstractNumId w:val="26"/>
  </w:num>
  <w:num w:numId="17">
    <w:abstractNumId w:val="33"/>
  </w:num>
  <w:num w:numId="18">
    <w:abstractNumId w:val="4"/>
  </w:num>
  <w:num w:numId="19">
    <w:abstractNumId w:val="5"/>
  </w:num>
  <w:num w:numId="20">
    <w:abstractNumId w:val="16"/>
  </w:num>
  <w:num w:numId="21">
    <w:abstractNumId w:val="25"/>
  </w:num>
  <w:num w:numId="22">
    <w:abstractNumId w:val="15"/>
  </w:num>
  <w:num w:numId="23">
    <w:abstractNumId w:val="23"/>
  </w:num>
  <w:num w:numId="24">
    <w:abstractNumId w:val="27"/>
  </w:num>
  <w:num w:numId="25">
    <w:abstractNumId w:val="39"/>
  </w:num>
  <w:num w:numId="26">
    <w:abstractNumId w:val="35"/>
  </w:num>
  <w:num w:numId="27">
    <w:abstractNumId w:val="22"/>
  </w:num>
  <w:num w:numId="28">
    <w:abstractNumId w:val="21"/>
  </w:num>
  <w:num w:numId="29">
    <w:abstractNumId w:val="10"/>
  </w:num>
  <w:num w:numId="30">
    <w:abstractNumId w:val="11"/>
  </w:num>
  <w:num w:numId="31">
    <w:abstractNumId w:val="34"/>
  </w:num>
  <w:num w:numId="32">
    <w:abstractNumId w:val="14"/>
  </w:num>
  <w:num w:numId="33">
    <w:abstractNumId w:val="13"/>
  </w:num>
  <w:num w:numId="34">
    <w:abstractNumId w:val="7"/>
  </w:num>
  <w:num w:numId="35">
    <w:abstractNumId w:val="41"/>
  </w:num>
  <w:num w:numId="36">
    <w:abstractNumId w:val="19"/>
  </w:num>
  <w:num w:numId="37">
    <w:abstractNumId w:val="31"/>
  </w:num>
  <w:num w:numId="38">
    <w:abstractNumId w:val="9"/>
  </w:num>
  <w:num w:numId="39">
    <w:abstractNumId w:val="37"/>
  </w:num>
  <w:num w:numId="40">
    <w:abstractNumId w:val="8"/>
  </w:num>
  <w:num w:numId="41">
    <w:abstractNumId w:val="18"/>
  </w:num>
  <w:num w:numId="42">
    <w:abstractNumId w:val="29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1"/>
    <w:rsid w:val="00007AB8"/>
    <w:rsid w:val="000130AC"/>
    <w:rsid w:val="0001447F"/>
    <w:rsid w:val="00022BE3"/>
    <w:rsid w:val="00037D1A"/>
    <w:rsid w:val="000412B4"/>
    <w:rsid w:val="00050B81"/>
    <w:rsid w:val="000613B8"/>
    <w:rsid w:val="00070F33"/>
    <w:rsid w:val="00096AF5"/>
    <w:rsid w:val="000B1BED"/>
    <w:rsid w:val="000D2054"/>
    <w:rsid w:val="001353BB"/>
    <w:rsid w:val="001A3F9B"/>
    <w:rsid w:val="001D341B"/>
    <w:rsid w:val="001F5484"/>
    <w:rsid w:val="002110BE"/>
    <w:rsid w:val="002126D3"/>
    <w:rsid w:val="002634E4"/>
    <w:rsid w:val="0027265D"/>
    <w:rsid w:val="00276A2A"/>
    <w:rsid w:val="00291815"/>
    <w:rsid w:val="002B37F5"/>
    <w:rsid w:val="002E583F"/>
    <w:rsid w:val="00316F6C"/>
    <w:rsid w:val="0035777A"/>
    <w:rsid w:val="00386E36"/>
    <w:rsid w:val="003A50F6"/>
    <w:rsid w:val="003B45BC"/>
    <w:rsid w:val="003C2280"/>
    <w:rsid w:val="003C27A8"/>
    <w:rsid w:val="003C2B47"/>
    <w:rsid w:val="0040051B"/>
    <w:rsid w:val="00444449"/>
    <w:rsid w:val="004659F0"/>
    <w:rsid w:val="0049495F"/>
    <w:rsid w:val="004958A6"/>
    <w:rsid w:val="004D2A18"/>
    <w:rsid w:val="004F5816"/>
    <w:rsid w:val="00520367"/>
    <w:rsid w:val="00525213"/>
    <w:rsid w:val="005256C8"/>
    <w:rsid w:val="0053368C"/>
    <w:rsid w:val="00542B73"/>
    <w:rsid w:val="00543097"/>
    <w:rsid w:val="00555B2C"/>
    <w:rsid w:val="00570308"/>
    <w:rsid w:val="005851A6"/>
    <w:rsid w:val="005876E1"/>
    <w:rsid w:val="005A7035"/>
    <w:rsid w:val="005B395F"/>
    <w:rsid w:val="005F5141"/>
    <w:rsid w:val="005F5A3D"/>
    <w:rsid w:val="00600FB4"/>
    <w:rsid w:val="00643CA0"/>
    <w:rsid w:val="00666B07"/>
    <w:rsid w:val="00670B35"/>
    <w:rsid w:val="00673BDE"/>
    <w:rsid w:val="006A29BB"/>
    <w:rsid w:val="006D2CC9"/>
    <w:rsid w:val="006F09D3"/>
    <w:rsid w:val="007160A5"/>
    <w:rsid w:val="00726337"/>
    <w:rsid w:val="00734010"/>
    <w:rsid w:val="00795E94"/>
    <w:rsid w:val="007A47D3"/>
    <w:rsid w:val="007A77E4"/>
    <w:rsid w:val="007B2FFF"/>
    <w:rsid w:val="007C5AD7"/>
    <w:rsid w:val="007C60D0"/>
    <w:rsid w:val="007D1F85"/>
    <w:rsid w:val="00811B8A"/>
    <w:rsid w:val="008343A9"/>
    <w:rsid w:val="008F40FE"/>
    <w:rsid w:val="008F6841"/>
    <w:rsid w:val="00907017"/>
    <w:rsid w:val="00923B16"/>
    <w:rsid w:val="0094771B"/>
    <w:rsid w:val="00952292"/>
    <w:rsid w:val="00974C95"/>
    <w:rsid w:val="009A0DEB"/>
    <w:rsid w:val="009C7B7E"/>
    <w:rsid w:val="009D679C"/>
    <w:rsid w:val="00A10E5C"/>
    <w:rsid w:val="00A13F71"/>
    <w:rsid w:val="00A17C67"/>
    <w:rsid w:val="00A45BD0"/>
    <w:rsid w:val="00A52892"/>
    <w:rsid w:val="00A65960"/>
    <w:rsid w:val="00A84964"/>
    <w:rsid w:val="00A9240F"/>
    <w:rsid w:val="00A9572F"/>
    <w:rsid w:val="00B11EED"/>
    <w:rsid w:val="00B25922"/>
    <w:rsid w:val="00B423F0"/>
    <w:rsid w:val="00B6472B"/>
    <w:rsid w:val="00B66EDB"/>
    <w:rsid w:val="00B96DE3"/>
    <w:rsid w:val="00BA18C8"/>
    <w:rsid w:val="00BB7B48"/>
    <w:rsid w:val="00BE2E0A"/>
    <w:rsid w:val="00BE4FAD"/>
    <w:rsid w:val="00C20232"/>
    <w:rsid w:val="00C65192"/>
    <w:rsid w:val="00CA6CEB"/>
    <w:rsid w:val="00CB262E"/>
    <w:rsid w:val="00CD2D2E"/>
    <w:rsid w:val="00CE4957"/>
    <w:rsid w:val="00D12945"/>
    <w:rsid w:val="00D141A8"/>
    <w:rsid w:val="00D16C4B"/>
    <w:rsid w:val="00D32469"/>
    <w:rsid w:val="00D84B0E"/>
    <w:rsid w:val="00DE0726"/>
    <w:rsid w:val="00E130AD"/>
    <w:rsid w:val="00E40003"/>
    <w:rsid w:val="00E653C1"/>
    <w:rsid w:val="00E9504B"/>
    <w:rsid w:val="00EE7E02"/>
    <w:rsid w:val="00EF0ADE"/>
    <w:rsid w:val="00F003F3"/>
    <w:rsid w:val="00F37C4E"/>
    <w:rsid w:val="00F67634"/>
    <w:rsid w:val="00F932E8"/>
    <w:rsid w:val="00FA27C7"/>
    <w:rsid w:val="00FD434A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1FD0E7"/>
  <w15:docId w15:val="{24B6EE0C-2208-8E41-BA16-7760F0E4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2C"/>
    <w:pPr>
      <w:spacing w:after="200" w:line="276" w:lineRule="auto"/>
    </w:pPr>
    <w:rPr>
      <w:sz w:val="22"/>
      <w:szCs w:val="22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locked/>
    <w:rsid w:val="008F6841"/>
    <w:pPr>
      <w:keepNext/>
      <w:spacing w:after="0" w:line="288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uiPriority w:val="99"/>
    <w:rsid w:val="009A0DE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9495F"/>
    <w:rPr>
      <w:rFonts w:cs="Times New Roman"/>
      <w:color w:val="800080"/>
      <w:u w:val="single"/>
    </w:rPr>
  </w:style>
  <w:style w:type="character" w:customStyle="1" w:styleId="longtext">
    <w:name w:val="long_text"/>
    <w:basedOn w:val="DefaultParagraphFont"/>
    <w:rsid w:val="004659F0"/>
  </w:style>
  <w:style w:type="character" w:customStyle="1" w:styleId="hps">
    <w:name w:val="hps"/>
    <w:basedOn w:val="DefaultParagraphFont"/>
    <w:rsid w:val="004659F0"/>
  </w:style>
  <w:style w:type="character" w:customStyle="1" w:styleId="Heading3Char">
    <w:name w:val="Heading 3 Char"/>
    <w:basedOn w:val="DefaultParagraphFont"/>
    <w:link w:val="Heading3"/>
    <w:rsid w:val="008F6841"/>
    <w:rPr>
      <w:rFonts w:ascii="Times New Roman" w:hAnsi="Times New Roman"/>
      <w:b/>
      <w:bCs/>
      <w:sz w:val="24"/>
      <w:szCs w:val="24"/>
      <w:lang w:val="el-GR" w:eastAsia="el-GR"/>
    </w:rPr>
  </w:style>
  <w:style w:type="character" w:customStyle="1" w:styleId="bea-portal-theme-alibrisinvisible">
    <w:name w:val="bea-portal-theme-alibrisinvisible"/>
    <w:basedOn w:val="DefaultParagraphFont"/>
    <w:rsid w:val="008F6841"/>
  </w:style>
  <w:style w:type="paragraph" w:styleId="Header">
    <w:name w:val="header"/>
    <w:basedOn w:val="Normal"/>
    <w:link w:val="HeaderChar"/>
    <w:uiPriority w:val="99"/>
    <w:unhideWhenUsed/>
    <w:rsid w:val="00C65192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5192"/>
    <w:rPr>
      <w:rFonts w:eastAsia="Calibri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0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03"/>
    <w:rPr>
      <w:rFonts w:ascii="Times New Roman" w:hAnsi="Times New Roman"/>
      <w:sz w:val="18"/>
      <w:szCs w:val="18"/>
      <w:lang w:val="el-GR" w:eastAsia="el-GR"/>
    </w:rPr>
  </w:style>
  <w:style w:type="character" w:styleId="Strong">
    <w:name w:val="Strong"/>
    <w:basedOn w:val="DefaultParagraphFont"/>
    <w:uiPriority w:val="22"/>
    <w:qFormat/>
    <w:locked/>
    <w:rsid w:val="00E4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srv.aua.gr/eclass/courses/9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02C8-325D-304A-8EA7-7D2BCECF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Georgakopoulos, Georgios</cp:lastModifiedBy>
  <cp:revision>33</cp:revision>
  <dcterms:created xsi:type="dcterms:W3CDTF">2019-04-06T06:41:00Z</dcterms:created>
  <dcterms:modified xsi:type="dcterms:W3CDTF">2020-07-22T10:32:00Z</dcterms:modified>
</cp:coreProperties>
</file>