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C0" w:rsidRPr="00C20232" w:rsidRDefault="006151C0" w:rsidP="003809BC">
      <w:pPr>
        <w:spacing w:before="120" w:after="0"/>
        <w:jc w:val="center"/>
        <w:rPr>
          <w:rFonts w:ascii="Calibri" w:eastAsia="Times New Roman" w:hAnsi="Calibri" w:cs="Arial"/>
          <w:sz w:val="24"/>
          <w:szCs w:val="24"/>
          <w:lang w:val="en-US"/>
        </w:rPr>
      </w:pPr>
      <w:r>
        <w:rPr>
          <w:rFonts w:ascii="Calibri" w:eastAsia="Times New Roman" w:hAnsi="Calibri" w:cs="Arial"/>
          <w:b/>
          <w:sz w:val="24"/>
          <w:szCs w:val="24"/>
        </w:rPr>
        <w:t>COURSE LAYOUT</w:t>
      </w:r>
      <w:bookmarkStart w:id="0" w:name="_GoBack"/>
      <w:bookmarkEnd w:id="0"/>
    </w:p>
    <w:p w:rsidR="006151C0" w:rsidRPr="00050B81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GENERAL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5"/>
        <w:gridCol w:w="1135"/>
        <w:gridCol w:w="1297"/>
        <w:gridCol w:w="1208"/>
        <w:gridCol w:w="351"/>
        <w:gridCol w:w="1240"/>
      </w:tblGrid>
      <w:tr w:rsidR="006151C0" w:rsidRPr="002A2C0D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SCHOOL</w:t>
            </w:r>
          </w:p>
        </w:tc>
        <w:tc>
          <w:tcPr>
            <w:tcW w:w="5231" w:type="dxa"/>
            <w:gridSpan w:val="5"/>
          </w:tcPr>
          <w:p w:rsidR="006151C0" w:rsidRPr="00050B81" w:rsidRDefault="00AA2391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APPLIED ECONOMICS AND SOCIAL SCIENCES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5231" w:type="dxa"/>
            <w:gridSpan w:val="5"/>
          </w:tcPr>
          <w:p w:rsidR="006151C0" w:rsidRPr="00AA4608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AGRICULTURAL ECONOMICS &amp; RURAL DEVELOPMENT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STUDY LEVEL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31" w:type="dxa"/>
            <w:gridSpan w:val="5"/>
          </w:tcPr>
          <w:p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Arial"/>
                <w:i/>
                <w:sz w:val="18"/>
                <w:szCs w:val="18"/>
              </w:rPr>
              <w:t>Undergraduate</w:t>
            </w:r>
            <w:proofErr w:type="spellEnd"/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1A3F9B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CODE</w:t>
            </w:r>
          </w:p>
        </w:tc>
        <w:tc>
          <w:tcPr>
            <w:tcW w:w="1135" w:type="dxa"/>
          </w:tcPr>
          <w:p w:rsidR="006151C0" w:rsidRPr="008D17B8" w:rsidRDefault="000A6613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 </w:t>
            </w:r>
            <w:r w:rsidR="008D17B8">
              <w:rPr>
                <w:rFonts w:ascii="Calibri" w:eastAsia="Times New Roman" w:hAnsi="Calibri" w:cs="Arial"/>
                <w:b/>
                <w:sz w:val="20"/>
                <w:szCs w:val="20"/>
              </w:rPr>
              <w:t>3475</w:t>
            </w:r>
          </w:p>
        </w:tc>
        <w:tc>
          <w:tcPr>
            <w:tcW w:w="2505" w:type="dxa"/>
            <w:gridSpan w:val="2"/>
            <w:shd w:val="clear" w:color="auto" w:fill="DDD9C3" w:themeFill="background2" w:themeFillShade="E6"/>
          </w:tcPr>
          <w:p w:rsidR="006151C0" w:rsidRPr="006151C0" w:rsidRDefault="006151C0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591" w:type="dxa"/>
            <w:gridSpan w:val="2"/>
          </w:tcPr>
          <w:p w:rsidR="008D17B8" w:rsidRPr="008D17B8" w:rsidRDefault="008D17B8" w:rsidP="002A2C0D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1</w:t>
            </w:r>
            <w:r w:rsidRPr="008D17B8">
              <w:rPr>
                <w:rFonts w:ascii="Calibri" w:eastAsia="Times New Roman" w:hAnsi="Calibri" w:cs="Arial"/>
                <w:color w:val="002060"/>
                <w:sz w:val="20"/>
                <w:szCs w:val="20"/>
                <w:vertAlign w:val="superscript"/>
              </w:rPr>
              <w:t>st</w:t>
            </w:r>
          </w:p>
        </w:tc>
      </w:tr>
      <w:tr w:rsidR="006151C0" w:rsidRPr="003B45BC" w:rsidTr="001A3F9B">
        <w:trPr>
          <w:trHeight w:val="375"/>
        </w:trPr>
        <w:tc>
          <w:tcPr>
            <w:tcW w:w="3205" w:type="dxa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5231" w:type="dxa"/>
            <w:gridSpan w:val="5"/>
            <w:vAlign w:val="center"/>
          </w:tcPr>
          <w:p w:rsidR="006151C0" w:rsidRPr="00AE206F" w:rsidRDefault="00AE206F" w:rsidP="001A3F9B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AE206F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INTRODUCTION TO ECONOMIC THEORY</w:t>
            </w:r>
          </w:p>
        </w:tc>
      </w:tr>
      <w:tr w:rsidR="006151C0" w:rsidRPr="00050B81" w:rsidTr="001A3F9B">
        <w:trPr>
          <w:trHeight w:val="196"/>
        </w:trPr>
        <w:tc>
          <w:tcPr>
            <w:tcW w:w="5637" w:type="dxa"/>
            <w:gridSpan w:val="3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INDEPENDENT TEACHING ACTIVITIES</w:t>
            </w:r>
          </w:p>
        </w:tc>
        <w:tc>
          <w:tcPr>
            <w:tcW w:w="1559" w:type="dxa"/>
            <w:gridSpan w:val="2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WEEKLY TEACHING HOURS</w:t>
            </w:r>
          </w:p>
        </w:tc>
        <w:tc>
          <w:tcPr>
            <w:tcW w:w="1240" w:type="dxa"/>
            <w:shd w:val="clear" w:color="auto" w:fill="DDD9C3" w:themeFill="background2" w:themeFillShade="E6"/>
            <w:vAlign w:val="center"/>
          </w:tcPr>
          <w:p w:rsidR="006151C0" w:rsidRPr="00050B81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ECTS</w:t>
            </w:r>
          </w:p>
        </w:tc>
      </w:tr>
      <w:tr w:rsidR="006151C0" w:rsidRPr="00050B81" w:rsidTr="00BF6D32">
        <w:trPr>
          <w:trHeight w:val="194"/>
        </w:trPr>
        <w:tc>
          <w:tcPr>
            <w:tcW w:w="5637" w:type="dxa"/>
            <w:gridSpan w:val="3"/>
          </w:tcPr>
          <w:p w:rsidR="006151C0" w:rsidRPr="00726337" w:rsidRDefault="008D17B8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 w:rsidRPr="008D17B8"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Lectures and Practice Exercises</w:t>
            </w:r>
          </w:p>
        </w:tc>
        <w:tc>
          <w:tcPr>
            <w:tcW w:w="1559" w:type="dxa"/>
            <w:gridSpan w:val="2"/>
          </w:tcPr>
          <w:p w:rsidR="006151C0" w:rsidRPr="00726337" w:rsidRDefault="008D17B8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6151C0" w:rsidRPr="00F840AB" w:rsidRDefault="006151C0" w:rsidP="003809B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050B81" w:rsidRPr="00050B81" w:rsidTr="00BF6D32">
        <w:trPr>
          <w:trHeight w:val="194"/>
        </w:trPr>
        <w:tc>
          <w:tcPr>
            <w:tcW w:w="5637" w:type="dxa"/>
            <w:gridSpan w:val="3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050B81" w:rsidRPr="00726337" w:rsidRDefault="00050B81" w:rsidP="00050B81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  <w:tc>
          <w:tcPr>
            <w:tcW w:w="1240" w:type="dxa"/>
          </w:tcPr>
          <w:p w:rsidR="00050B81" w:rsidRPr="00726337" w:rsidRDefault="00050B81" w:rsidP="00050B81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</w:rPr>
            </w:pPr>
          </w:p>
        </w:tc>
      </w:tr>
      <w:tr w:rsidR="006151C0" w:rsidRPr="00050B81" w:rsidTr="001A3F9B">
        <w:trPr>
          <w:trHeight w:val="599"/>
        </w:trPr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TYPE</w:t>
            </w:r>
          </w:p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151C0" w:rsidRPr="006151C0" w:rsidRDefault="008D17B8" w:rsidP="006C74B6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 w:rsidRPr="008D17B8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Background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PREREQUISITES</w:t>
            </w:r>
          </w:p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</w:p>
        </w:tc>
        <w:tc>
          <w:tcPr>
            <w:tcW w:w="5231" w:type="dxa"/>
            <w:gridSpan w:val="5"/>
          </w:tcPr>
          <w:p w:rsidR="006151C0" w:rsidRPr="006151C0" w:rsidRDefault="006151C0" w:rsidP="006151C0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LANGUAGE</w:t>
            </w:r>
          </w:p>
        </w:tc>
        <w:tc>
          <w:tcPr>
            <w:tcW w:w="5231" w:type="dxa"/>
            <w:gridSpan w:val="5"/>
          </w:tcPr>
          <w:p w:rsidR="006151C0" w:rsidRPr="00515A4B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Greek</w:t>
            </w:r>
          </w:p>
        </w:tc>
      </w:tr>
      <w:tr w:rsidR="006151C0" w:rsidRPr="00050B81" w:rsidTr="001A3F9B">
        <w:tc>
          <w:tcPr>
            <w:tcW w:w="3205" w:type="dxa"/>
            <w:shd w:val="clear" w:color="auto" w:fill="DDD9C3" w:themeFill="background2" w:themeFillShade="E6"/>
          </w:tcPr>
          <w:p w:rsidR="006151C0" w:rsidRPr="00F77300" w:rsidRDefault="006151C0" w:rsidP="003809BC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 xml:space="preserve">IS THE COURSE OFFERED for </w:t>
            </w:r>
            <w:r w:rsidRPr="00050B81"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>ERASMUS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  <w:t xml:space="preserve"> STUDENTS?</w:t>
            </w:r>
          </w:p>
        </w:tc>
        <w:tc>
          <w:tcPr>
            <w:tcW w:w="5231" w:type="dxa"/>
            <w:gridSpan w:val="5"/>
          </w:tcPr>
          <w:p w:rsidR="006151C0" w:rsidRPr="00515A4B" w:rsidRDefault="006C77DD" w:rsidP="003809BC">
            <w:pPr>
              <w:spacing w:after="0" w:line="240" w:lineRule="auto"/>
              <w:rPr>
                <w:rFonts w:ascii="Calibri" w:eastAsia="Times New Roman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Yes (in English)</w:t>
            </w:r>
          </w:p>
        </w:tc>
      </w:tr>
      <w:tr w:rsidR="006C74B6" w:rsidRPr="002A2C0D" w:rsidTr="001A3F9B">
        <w:tc>
          <w:tcPr>
            <w:tcW w:w="3205" w:type="dxa"/>
            <w:shd w:val="clear" w:color="auto" w:fill="DDD9C3" w:themeFill="background2" w:themeFillShade="E6"/>
          </w:tcPr>
          <w:p w:rsidR="006C74B6" w:rsidRPr="00050B81" w:rsidRDefault="006C74B6" w:rsidP="006C74B6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  <w:lang w:val="en-GB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COURSE WEB PAGE</w:t>
            </w:r>
          </w:p>
        </w:tc>
        <w:tc>
          <w:tcPr>
            <w:tcW w:w="5231" w:type="dxa"/>
            <w:gridSpan w:val="5"/>
          </w:tcPr>
          <w:p w:rsidR="006C74B6" w:rsidRPr="00050B81" w:rsidRDefault="008D17B8" w:rsidP="006C74B6">
            <w:pPr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</w:pPr>
            <w:r w:rsidRPr="008D17B8">
              <w:rPr>
                <w:rFonts w:ascii="Calibri" w:hAnsi="Calibri" w:cs="Arial"/>
                <w:color w:val="002060"/>
                <w:sz w:val="20"/>
                <w:szCs w:val="20"/>
                <w:lang w:val="en-GB"/>
              </w:rPr>
              <w:t>https://mediasrv.aua.gr/eclass/courses/AOA179/</w:t>
            </w:r>
          </w:p>
        </w:tc>
      </w:tr>
    </w:tbl>
    <w:p w:rsidR="006151C0" w:rsidRPr="006151C0" w:rsidRDefault="006151C0" w:rsidP="006151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151C0">
        <w:rPr>
          <w:rFonts w:ascii="Calibri" w:eastAsia="Times New Roman" w:hAnsi="Calibri" w:cs="Arial"/>
          <w:b/>
          <w:color w:val="000000"/>
        </w:rPr>
        <w:t>LEARNING OUTCOMES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"/>
        <w:gridCol w:w="8454"/>
      </w:tblGrid>
      <w:tr w:rsidR="006151C0" w:rsidRPr="00050B81" w:rsidTr="001A3F9B">
        <w:tc>
          <w:tcPr>
            <w:tcW w:w="8472" w:type="dxa"/>
            <w:gridSpan w:val="2"/>
            <w:tcBorders>
              <w:bottom w:val="nil"/>
            </w:tcBorders>
            <w:shd w:val="clear" w:color="auto" w:fill="DDD9C3" w:themeFill="background2" w:themeFillShade="E6"/>
          </w:tcPr>
          <w:p w:rsidR="006151C0" w:rsidRPr="00050B81" w:rsidRDefault="006151C0" w:rsidP="003809BC">
            <w:pPr>
              <w:spacing w:after="0" w:line="240" w:lineRule="auto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Learning</w:t>
            </w:r>
            <w:proofErr w:type="spellEnd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Outcomes</w:t>
            </w:r>
            <w:proofErr w:type="spellEnd"/>
          </w:p>
        </w:tc>
      </w:tr>
      <w:tr w:rsidR="001A3F9B" w:rsidRPr="006C77DD" w:rsidTr="00050B81">
        <w:tc>
          <w:tcPr>
            <w:tcW w:w="8472" w:type="dxa"/>
            <w:gridSpan w:val="2"/>
          </w:tcPr>
          <w:p w:rsidR="008D17B8" w:rsidRPr="008D17B8" w:rsidRDefault="008D17B8" w:rsidP="008D17B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Calibri" w:hAnsi="Calibri" w:cs="Arial"/>
                <w:color w:val="002060"/>
                <w:sz w:val="20"/>
                <w:szCs w:val="20"/>
              </w:rPr>
            </w:pP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The course is the first/introductory course of the Department of Agricultural Economics and Rural Development in economic theory. The course aims to familiarize students with the basic concepts of economic theory, through a "pluralistic" approach. This means that in all the thematic units of the course are exposed both the prevailing economic theory (the Neoclassical Theory) and alternative theoretical approaches.</w:t>
            </w:r>
          </w:p>
          <w:p w:rsidR="008D17B8" w:rsidRPr="008D17B8" w:rsidRDefault="008D17B8" w:rsidP="008D17B8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Calibri" w:hAnsi="Calibri" w:cs="Arial"/>
                <w:color w:val="002060"/>
                <w:sz w:val="20"/>
                <w:szCs w:val="20"/>
              </w:rPr>
            </w:pPr>
          </w:p>
          <w:p w:rsidR="008D17B8" w:rsidRDefault="008D17B8" w:rsidP="008D17B8">
            <w:pPr>
              <w:tabs>
                <w:tab w:val="left" w:pos="280"/>
              </w:tabs>
              <w:spacing w:after="0" w:line="240" w:lineRule="auto"/>
              <w:ind w:left="142"/>
              <w:jc w:val="both"/>
              <w:rPr>
                <w:rFonts w:ascii="Calibri" w:eastAsia="Calibri" w:hAnsi="Calibri" w:cs="Arial"/>
                <w:color w:val="002060"/>
                <w:sz w:val="20"/>
                <w:szCs w:val="20"/>
              </w:rPr>
            </w:pP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Upon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successful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completion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of the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course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the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student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will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be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able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to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:</w:t>
            </w:r>
          </w:p>
          <w:p w:rsidR="008D17B8" w:rsidRDefault="008D17B8" w:rsidP="008D17B8">
            <w:pPr>
              <w:tabs>
                <w:tab w:val="left" w:pos="280"/>
              </w:tabs>
              <w:spacing w:after="0" w:line="240" w:lineRule="auto"/>
              <w:ind w:left="142"/>
              <w:jc w:val="both"/>
              <w:rPr>
                <w:rFonts w:ascii="Calibri" w:eastAsia="Calibri" w:hAnsi="Calibri" w:cs="Arial"/>
                <w:color w:val="002060"/>
                <w:sz w:val="20"/>
                <w:szCs w:val="20"/>
              </w:rPr>
            </w:pP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•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Understand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the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basic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concepts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of economics and the operation of the </w:t>
            </w:r>
            <w:proofErr w:type="spellStart"/>
            <w:r>
              <w:rPr>
                <w:rFonts w:ascii="Calibri" w:eastAsia="Calibri" w:hAnsi="Calibri" w:cs="Arial"/>
                <w:color w:val="002060"/>
                <w:sz w:val="20"/>
                <w:szCs w:val="20"/>
              </w:rPr>
              <w:t>economic</w:t>
            </w:r>
            <w:proofErr w:type="spellEnd"/>
            <w:r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system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while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acquiring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a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critical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ability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.</w:t>
            </w:r>
          </w:p>
          <w:p w:rsidR="008D17B8" w:rsidRDefault="008D17B8" w:rsidP="008D17B8">
            <w:pPr>
              <w:tabs>
                <w:tab w:val="left" w:pos="280"/>
              </w:tabs>
              <w:spacing w:after="0" w:line="240" w:lineRule="auto"/>
              <w:ind w:left="142"/>
              <w:jc w:val="both"/>
              <w:rPr>
                <w:rFonts w:ascii="Calibri" w:eastAsia="Calibri" w:hAnsi="Calibri" w:cs="Arial"/>
                <w:color w:val="002060"/>
                <w:sz w:val="20"/>
                <w:szCs w:val="20"/>
              </w:rPr>
            </w:pP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• Get in touch with different approaches, methods, techniques and tools of economic theory, so that later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they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can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delve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into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more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specialized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courses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.</w:t>
            </w:r>
          </w:p>
          <w:p w:rsidR="008D17B8" w:rsidRPr="008D17B8" w:rsidRDefault="008D17B8" w:rsidP="008D17B8">
            <w:pPr>
              <w:tabs>
                <w:tab w:val="left" w:pos="280"/>
              </w:tabs>
              <w:spacing w:after="0" w:line="240" w:lineRule="auto"/>
              <w:ind w:left="142"/>
              <w:jc w:val="both"/>
              <w:rPr>
                <w:rFonts w:ascii="Calibri" w:eastAsia="Calibri" w:hAnsi="Calibri" w:cs="Arial"/>
                <w:color w:val="002060"/>
                <w:sz w:val="20"/>
                <w:szCs w:val="20"/>
              </w:rPr>
            </w:pP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•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Create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a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suitable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"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knowledge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base" for many of the next courses of the Department, as this course is the basic requirement of many others.</w:t>
            </w:r>
          </w:p>
          <w:p w:rsidR="000A6613" w:rsidRPr="000A6613" w:rsidRDefault="000A6613" w:rsidP="000A6613">
            <w:pPr>
              <w:tabs>
                <w:tab w:val="left" w:pos="280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</w:p>
        </w:tc>
      </w:tr>
      <w:tr w:rsidR="00050B81" w:rsidRPr="00050B81" w:rsidTr="001A3F9B">
        <w:tblPrEx>
          <w:tblLook w:val="0000" w:firstRow="0" w:lastRow="0" w:firstColumn="0" w:lastColumn="0" w:noHBand="0" w:noVBand="0"/>
        </w:tblPrEx>
        <w:trPr>
          <w:gridBefore w:val="1"/>
          <w:wBefore w:w="18" w:type="dxa"/>
        </w:trPr>
        <w:tc>
          <w:tcPr>
            <w:tcW w:w="8454" w:type="dxa"/>
            <w:tcBorders>
              <w:bottom w:val="nil"/>
            </w:tcBorders>
            <w:shd w:val="clear" w:color="auto" w:fill="DDD9C3" w:themeFill="background2" w:themeFillShade="E6"/>
          </w:tcPr>
          <w:p w:rsidR="00050B81" w:rsidRPr="00275CDB" w:rsidRDefault="00275CDB" w:rsidP="00050B81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General competences</w:t>
            </w:r>
          </w:p>
        </w:tc>
      </w:tr>
      <w:tr w:rsidR="00050B81" w:rsidRPr="002A2C0D" w:rsidTr="00B25922">
        <w:tc>
          <w:tcPr>
            <w:tcW w:w="8472" w:type="dxa"/>
            <w:gridSpan w:val="2"/>
            <w:tcBorders>
              <w:bottom w:val="single" w:sz="4" w:space="0" w:color="auto"/>
            </w:tcBorders>
          </w:tcPr>
          <w:p w:rsidR="008D17B8" w:rsidRPr="008D17B8" w:rsidRDefault="008D17B8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2060"/>
                <w:sz w:val="20"/>
                <w:szCs w:val="20"/>
              </w:rPr>
            </w:pP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•</w:t>
            </w: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ab/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Autonomous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work</w:t>
            </w:r>
            <w:proofErr w:type="spellEnd"/>
          </w:p>
          <w:p w:rsidR="008D17B8" w:rsidRPr="008D17B8" w:rsidRDefault="008D17B8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2060"/>
                <w:sz w:val="20"/>
                <w:szCs w:val="20"/>
              </w:rPr>
            </w:pP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•</w:t>
            </w: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ab/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Teamwork</w:t>
            </w:r>
            <w:proofErr w:type="spellEnd"/>
          </w:p>
          <w:p w:rsidR="008D17B8" w:rsidRPr="008D17B8" w:rsidRDefault="008D17B8" w:rsidP="008D17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2060"/>
                <w:sz w:val="20"/>
                <w:szCs w:val="20"/>
              </w:rPr>
            </w:pP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•</w:t>
            </w: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ab/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Critique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self-critique</w:t>
            </w:r>
            <w:proofErr w:type="spellEnd"/>
          </w:p>
          <w:p w:rsidR="000A6613" w:rsidRPr="008D17B8" w:rsidRDefault="008D17B8" w:rsidP="000A66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Arial"/>
                <w:color w:val="002060"/>
                <w:sz w:val="20"/>
                <w:szCs w:val="20"/>
              </w:rPr>
            </w:pP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•</w:t>
            </w:r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ab/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Advance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of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free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thinking</w:t>
            </w:r>
            <w:proofErr w:type="spellEnd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 xml:space="preserve"> and </w:t>
            </w:r>
            <w:proofErr w:type="spellStart"/>
            <w:r w:rsidRPr="008D17B8">
              <w:rPr>
                <w:rFonts w:ascii="Calibri" w:eastAsia="Calibri" w:hAnsi="Calibri" w:cs="Arial"/>
                <w:color w:val="002060"/>
                <w:sz w:val="20"/>
                <w:szCs w:val="20"/>
              </w:rPr>
              <w:t>reasoning</w:t>
            </w:r>
            <w:proofErr w:type="spellEnd"/>
          </w:p>
        </w:tc>
      </w:tr>
    </w:tbl>
    <w:p w:rsidR="00050B81" w:rsidRPr="00050B81" w:rsidRDefault="00275CD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>COURSE CONTENT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6C74B6" w:rsidTr="00BF6D32">
        <w:tc>
          <w:tcPr>
            <w:tcW w:w="8472" w:type="dxa"/>
          </w:tcPr>
          <w:p w:rsidR="008D17B8" w:rsidRPr="008D17B8" w:rsidRDefault="008D17B8" w:rsidP="008D17B8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1. The emergence of economics in conjunction with the emergence of market societies. Classical Political Economy and Neoclassical Theory.</w:t>
            </w:r>
          </w:p>
          <w:p w:rsidR="008D17B8" w:rsidRPr="008D17B8" w:rsidRDefault="008D17B8" w:rsidP="008D17B8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2. The basic hypotheses of economics and their critique. </w:t>
            </w:r>
            <w:r w:rsid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Scarc</w:t>
            </w: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ity, </w:t>
            </w:r>
            <w:r w:rsid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trade-offs</w:t>
            </w: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</w:t>
            </w:r>
            <w:r w:rsid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production possibility frontier</w:t>
            </w: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, efficiency, opportunity cost, </w:t>
            </w:r>
            <w:proofErr w:type="gramStart"/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rational choice, "positive" or "</w:t>
            </w:r>
            <w:r w:rsid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normative</w:t>
            </w:r>
            <w:proofErr w:type="gramEnd"/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" science? </w:t>
            </w:r>
            <w:proofErr w:type="gramStart"/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the</w:t>
            </w:r>
            <w:proofErr w:type="gramEnd"/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economic methodology.</w:t>
            </w:r>
          </w:p>
          <w:p w:rsidR="008D17B8" w:rsidRPr="008D17B8" w:rsidRDefault="008D17B8" w:rsidP="008D17B8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3. The operation of the </w:t>
            </w:r>
            <w:r w:rsid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economic</w:t>
            </w: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system. Agricultural holdings, Businesses and households in Greece today.</w:t>
            </w:r>
          </w:p>
          <w:p w:rsidR="008D17B8" w:rsidRPr="008D17B8" w:rsidRDefault="008D17B8" w:rsidP="008D17B8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4. Demand and supply. The "perfect" competition.</w:t>
            </w:r>
          </w:p>
          <w:p w:rsidR="008D17B8" w:rsidRPr="008D17B8" w:rsidRDefault="008D17B8" w:rsidP="008D17B8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lastRenderedPageBreak/>
              <w:t>5. Elasticities.</w:t>
            </w:r>
          </w:p>
          <w:p w:rsidR="008D17B8" w:rsidRPr="008D17B8" w:rsidRDefault="008D17B8" w:rsidP="008D17B8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6. Consumer behavior, demand.</w:t>
            </w:r>
          </w:p>
          <w:p w:rsidR="008D17B8" w:rsidRPr="008D17B8" w:rsidRDefault="00931216" w:rsidP="008D17B8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7. Production costs and</w:t>
            </w:r>
            <w:r w:rsidR="008D17B8"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theory</w:t>
            </w:r>
            <w:r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of the firm</w:t>
            </w:r>
            <w:r w:rsidR="008D17B8"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.</w:t>
            </w:r>
          </w:p>
          <w:p w:rsidR="008D17B8" w:rsidRPr="008D17B8" w:rsidRDefault="008D17B8" w:rsidP="008D17B8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8. Competition and concentratio</w:t>
            </w:r>
            <w:r w:rsid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n. Monopoly, oligopoly, monopolistic</w:t>
            </w: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competition.</w:t>
            </w:r>
          </w:p>
          <w:p w:rsidR="008D17B8" w:rsidRDefault="008D17B8" w:rsidP="008D17B8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9. </w:t>
            </w:r>
            <w:r w:rsidR="00931216" w:rsidRP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The structure and operation of real </w:t>
            </w:r>
            <w:proofErr w:type="spellStart"/>
            <w:r w:rsidR="00931216" w:rsidRP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agri</w:t>
            </w:r>
            <w:proofErr w:type="spellEnd"/>
            <w:r w:rsidR="00931216" w:rsidRP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-food markets</w:t>
            </w: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. Self-regulation in agricultural markets?</w:t>
            </w:r>
          </w:p>
          <w:p w:rsidR="00931216" w:rsidRPr="008D17B8" w:rsidRDefault="00931216" w:rsidP="008D17B8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</w:p>
          <w:p w:rsidR="000A6613" w:rsidRDefault="008D17B8" w:rsidP="000A6613">
            <w:pPr>
              <w:spacing w:after="0" w:line="240" w:lineRule="auto"/>
              <w:jc w:val="both"/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</w:pP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The course </w:t>
            </w:r>
            <w:proofErr w:type="gramStart"/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is also enriched</w:t>
            </w:r>
            <w:proofErr w:type="gramEnd"/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 with a critical presentation and discussion of examples from agriculture, rural areas, </w:t>
            </w:r>
            <w:r w:rsid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the </w:t>
            </w:r>
            <w:proofErr w:type="spellStart"/>
            <w:r w:rsid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agri</w:t>
            </w:r>
            <w:proofErr w:type="spellEnd"/>
            <w:r w:rsid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-</w:t>
            </w: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food </w:t>
            </w:r>
            <w:r w:rsidR="00931216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 xml:space="preserve">system </w:t>
            </w:r>
            <w:r w:rsidRPr="008D17B8">
              <w:rPr>
                <w:rFonts w:ascii="Calibri" w:eastAsia="Times New Roman" w:hAnsi="Calibri" w:cs="Arial"/>
                <w:bCs/>
                <w:color w:val="002060"/>
                <w:sz w:val="20"/>
                <w:szCs w:val="20"/>
                <w:lang w:val="en-US"/>
              </w:rPr>
              <w:t>and the environment, as they emerge from everyday experience and contemporary international literature.</w:t>
            </w:r>
          </w:p>
          <w:p w:rsidR="000A6613" w:rsidRPr="006725FB" w:rsidRDefault="000A6613" w:rsidP="000A6613">
            <w:pPr>
              <w:spacing w:after="0" w:line="240" w:lineRule="auto"/>
              <w:jc w:val="both"/>
              <w:rPr>
                <w:iCs/>
                <w:color w:val="002060"/>
                <w:lang w:val="en-US"/>
              </w:rPr>
            </w:pPr>
          </w:p>
        </w:tc>
      </w:tr>
    </w:tbl>
    <w:p w:rsidR="006725FB" w:rsidRPr="006725FB" w:rsidRDefault="006725FB" w:rsidP="006725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357" w:hanging="357"/>
        <w:rPr>
          <w:rFonts w:ascii="Calibri" w:eastAsia="Times New Roman" w:hAnsi="Calibri" w:cs="Arial"/>
          <w:b/>
          <w:color w:val="000000"/>
        </w:rPr>
      </w:pPr>
      <w:r w:rsidRPr="006725FB">
        <w:rPr>
          <w:rFonts w:ascii="Calibri" w:eastAsia="Times New Roman" w:hAnsi="Calibri" w:cs="Arial"/>
          <w:b/>
          <w:color w:val="000000"/>
        </w:rPr>
        <w:lastRenderedPageBreak/>
        <w:t xml:space="preserve">TEACHING and LEARNING METHODS -  </w:t>
      </w:r>
      <w:proofErr w:type="spellStart"/>
      <w:r w:rsidRPr="006725FB">
        <w:rPr>
          <w:rFonts w:ascii="Calibri" w:eastAsia="Times New Roman" w:hAnsi="Calibri" w:cs="Arial"/>
          <w:b/>
          <w:color w:val="000000"/>
        </w:rPr>
        <w:t>Evaluation</w:t>
      </w:r>
      <w:proofErr w:type="spellEnd"/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6"/>
        <w:gridCol w:w="5166"/>
      </w:tblGrid>
      <w:tr w:rsidR="006725FB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050B81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t>TEACHING METHOD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</w:rPr>
              <w:br/>
            </w:r>
          </w:p>
        </w:tc>
        <w:tc>
          <w:tcPr>
            <w:tcW w:w="5166" w:type="dxa"/>
          </w:tcPr>
          <w:p w:rsidR="006725FB" w:rsidRPr="00B25922" w:rsidRDefault="006725FB" w:rsidP="000931C2">
            <w:pPr>
              <w:rPr>
                <w:iCs/>
                <w:color w:val="002060"/>
              </w:rPr>
            </w:pPr>
            <w:r>
              <w:rPr>
                <w:iCs/>
                <w:color w:val="002060"/>
                <w:lang w:val="en-US"/>
              </w:rPr>
              <w:t>In class</w:t>
            </w:r>
            <w:r w:rsidRPr="00B25922">
              <w:rPr>
                <w:iCs/>
                <w:color w:val="002060"/>
              </w:rPr>
              <w:t xml:space="preserve"> </w:t>
            </w:r>
          </w:p>
        </w:tc>
      </w:tr>
      <w:tr w:rsidR="006725FB" w:rsidRPr="002A2C0D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F77300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i/>
                <w:sz w:val="16"/>
                <w:szCs w:val="16"/>
                <w:lang w:val="en-US"/>
              </w:rPr>
            </w:pP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t>USE OF INFORMATICS and COMMUNICATION  TECHNOLOGIES</w:t>
            </w:r>
            <w:r w:rsidRPr="00F77300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br/>
            </w: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6725FB" w:rsidRPr="00931216" w:rsidRDefault="006725FB" w:rsidP="006725FB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  <w:r w:rsidRPr="006725FB">
              <w:rPr>
                <w:iCs/>
                <w:color w:val="002060"/>
                <w:lang w:val="en-US"/>
              </w:rPr>
              <w:t>e</w:t>
            </w:r>
            <w:r w:rsidRPr="00931216">
              <w:rPr>
                <w:iCs/>
                <w:color w:val="002060"/>
                <w:lang w:val="en-US"/>
              </w:rPr>
              <w:t>-</w:t>
            </w:r>
            <w:r w:rsidRPr="006725FB">
              <w:rPr>
                <w:iCs/>
                <w:color w:val="002060"/>
                <w:lang w:val="en-US"/>
              </w:rPr>
              <w:t>class platform</w:t>
            </w:r>
          </w:p>
          <w:p w:rsidR="00931216" w:rsidRPr="00931216" w:rsidRDefault="00931216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Supporting material on e-class platform:</w:t>
            </w:r>
          </w:p>
          <w:p w:rsidR="006725FB" w:rsidRPr="00931216" w:rsidRDefault="006725FB" w:rsidP="00931216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  <w:proofErr w:type="gramStart"/>
            <w:r w:rsidRPr="006725FB">
              <w:rPr>
                <w:iCs/>
                <w:color w:val="002060"/>
                <w:lang w:val="en-US"/>
              </w:rPr>
              <w:t>Power</w:t>
            </w:r>
            <w:r w:rsidRPr="00931216">
              <w:rPr>
                <w:iCs/>
                <w:color w:val="002060"/>
                <w:lang w:val="en-US"/>
              </w:rPr>
              <w:t>-</w:t>
            </w:r>
            <w:r w:rsidRPr="006725FB">
              <w:rPr>
                <w:iCs/>
                <w:color w:val="002060"/>
                <w:lang w:val="en-US"/>
              </w:rPr>
              <w:t>Point</w:t>
            </w:r>
            <w:proofErr w:type="gramEnd"/>
            <w:r w:rsidRPr="00931216">
              <w:rPr>
                <w:iCs/>
                <w:color w:val="002060"/>
                <w:lang w:val="en-US"/>
              </w:rPr>
              <w:t xml:space="preserve"> </w:t>
            </w:r>
            <w:r w:rsidRPr="006725FB">
              <w:rPr>
                <w:iCs/>
                <w:color w:val="002060"/>
                <w:lang w:val="en-US"/>
              </w:rPr>
              <w:t>slides</w:t>
            </w:r>
            <w:r w:rsidRPr="00931216">
              <w:rPr>
                <w:iCs/>
                <w:color w:val="002060"/>
                <w:lang w:val="en-US"/>
              </w:rPr>
              <w:t xml:space="preserve"> </w:t>
            </w:r>
            <w:r w:rsidR="00931216" w:rsidRPr="00931216">
              <w:rPr>
                <w:iCs/>
                <w:color w:val="002060"/>
                <w:lang w:val="en-US"/>
              </w:rPr>
              <w:t>for all course lectures.</w:t>
            </w:r>
            <w:r w:rsidR="00931216">
              <w:rPr>
                <w:iCs/>
                <w:color w:val="002060"/>
                <w:lang w:val="en-US"/>
              </w:rPr>
              <w:t xml:space="preserve"> Most of them created by the instructor.</w:t>
            </w:r>
          </w:p>
          <w:p w:rsidR="00931216" w:rsidRPr="00931216" w:rsidRDefault="00931216" w:rsidP="00931216">
            <w:pPr>
              <w:numPr>
                <w:ilvl w:val="1"/>
                <w:numId w:val="8"/>
              </w:num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  <w:r w:rsidRPr="00931216">
              <w:rPr>
                <w:iCs/>
                <w:color w:val="002060"/>
                <w:lang w:val="en-US"/>
              </w:rPr>
              <w:t xml:space="preserve">Instructor notes, which complement the content of the </w:t>
            </w:r>
            <w:r>
              <w:rPr>
                <w:iCs/>
                <w:color w:val="002060"/>
                <w:lang w:val="en-US"/>
              </w:rPr>
              <w:t>text</w:t>
            </w:r>
            <w:r w:rsidRPr="00931216">
              <w:rPr>
                <w:iCs/>
                <w:color w:val="002060"/>
                <w:lang w:val="en-US"/>
              </w:rPr>
              <w:t>books</w:t>
            </w:r>
            <w:r>
              <w:rPr>
                <w:iCs/>
                <w:color w:val="002060"/>
                <w:lang w:val="en-US"/>
              </w:rPr>
              <w:t>.</w:t>
            </w:r>
          </w:p>
          <w:p w:rsidR="000C4C3C" w:rsidRPr="00931216" w:rsidRDefault="000C4C3C" w:rsidP="000C4C3C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Communication with students using e</w:t>
            </w:r>
            <w:r w:rsidR="00931216">
              <w:rPr>
                <w:iCs/>
                <w:color w:val="002060"/>
                <w:lang w:val="en-US"/>
              </w:rPr>
              <w:t>-</w:t>
            </w:r>
            <w:r>
              <w:rPr>
                <w:iCs/>
                <w:color w:val="002060"/>
                <w:lang w:val="en-US"/>
              </w:rPr>
              <w:t>class and email</w:t>
            </w:r>
          </w:p>
          <w:p w:rsidR="00931216" w:rsidRPr="00931216" w:rsidRDefault="00931216" w:rsidP="00931216">
            <w:pPr>
              <w:spacing w:after="0" w:line="240" w:lineRule="auto"/>
              <w:contextualSpacing/>
              <w:rPr>
                <w:iCs/>
                <w:color w:val="002060"/>
                <w:lang w:val="en-US"/>
              </w:rPr>
            </w:pPr>
          </w:p>
        </w:tc>
      </w:tr>
      <w:tr w:rsidR="006725FB" w:rsidRPr="00050B81" w:rsidTr="00B25922">
        <w:tc>
          <w:tcPr>
            <w:tcW w:w="3306" w:type="dxa"/>
            <w:shd w:val="clear" w:color="auto" w:fill="DDD9C3" w:themeFill="background2" w:themeFillShade="E6"/>
          </w:tcPr>
          <w:p w:rsidR="006725FB" w:rsidRPr="003D76B9" w:rsidRDefault="006725FB" w:rsidP="000931C2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3D76B9">
              <w:rPr>
                <w:rFonts w:ascii="Calibri" w:eastAsia="Times New Roman" w:hAnsi="Calibri" w:cs="Arial"/>
                <w:b/>
                <w:sz w:val="20"/>
                <w:szCs w:val="20"/>
              </w:rPr>
              <w:t>TEACHING ORGANISATION</w:t>
            </w:r>
          </w:p>
          <w:p w:rsidR="006725FB" w:rsidRPr="00050B81" w:rsidRDefault="006725FB" w:rsidP="000931C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2468"/>
            </w:tblGrid>
            <w:tr w:rsidR="006725FB" w:rsidRPr="00050B81" w:rsidTr="00B25922">
              <w:tc>
                <w:tcPr>
                  <w:tcW w:w="2467" w:type="dxa"/>
                  <w:shd w:val="clear" w:color="auto" w:fill="DDD9C3" w:themeFill="background2" w:themeFillShade="E6"/>
                  <w:vAlign w:val="center"/>
                </w:tcPr>
                <w:p w:rsidR="006725FB" w:rsidRPr="00C20232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Activity</w:t>
                  </w:r>
                  <w:proofErr w:type="spellEnd"/>
                </w:p>
              </w:tc>
              <w:tc>
                <w:tcPr>
                  <w:tcW w:w="2468" w:type="dxa"/>
                  <w:shd w:val="clear" w:color="auto" w:fill="DDD9C3" w:themeFill="background2" w:themeFillShade="E6"/>
                  <w:vAlign w:val="center"/>
                </w:tcPr>
                <w:p w:rsidR="006725FB" w:rsidRPr="00C20232" w:rsidRDefault="006725FB" w:rsidP="000931C2">
                  <w:pPr>
                    <w:jc w:val="center"/>
                    <w:rPr>
                      <w:rFonts w:ascii="Calibri" w:hAnsi="Calibri" w:cs="Arial"/>
                      <w:i/>
                      <w:lang w:val="el-GR"/>
                    </w:rPr>
                  </w:pP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Work</w:t>
                  </w:r>
                  <w:proofErr w:type="spellEnd"/>
                  <w:r>
                    <w:rPr>
                      <w:rFonts w:ascii="Calibri" w:hAnsi="Calibri" w:cs="Arial"/>
                      <w:i/>
                      <w:lang w:val="el-GR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Arial"/>
                      <w:i/>
                      <w:lang w:val="el-GR"/>
                    </w:rPr>
                    <w:t>Load</w:t>
                  </w:r>
                  <w:proofErr w:type="spellEnd"/>
                </w:p>
              </w:tc>
            </w:tr>
            <w:tr w:rsidR="006725FB" w:rsidRPr="00050B81" w:rsidTr="00BF6D32">
              <w:tc>
                <w:tcPr>
                  <w:tcW w:w="2467" w:type="dxa"/>
                </w:tcPr>
                <w:p w:rsidR="006725FB" w:rsidRPr="003D76B9" w:rsidRDefault="006725FB" w:rsidP="000931C2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Lectures</w:t>
                  </w:r>
                </w:p>
              </w:tc>
              <w:tc>
                <w:tcPr>
                  <w:tcW w:w="2468" w:type="dxa"/>
                </w:tcPr>
                <w:p w:rsidR="006725FB" w:rsidRPr="00F840AB" w:rsidRDefault="005F04BB" w:rsidP="00050B81">
                  <w:pPr>
                    <w:jc w:val="center"/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65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3D76B9" w:rsidRDefault="006725FB" w:rsidP="000931C2">
                  <w:pPr>
                    <w:rPr>
                      <w:rFonts w:ascii="Calibri" w:hAnsi="Calibri" w:cs="Arial"/>
                      <w:color w:val="002060"/>
                    </w:rPr>
                  </w:pPr>
                  <w:r>
                    <w:rPr>
                      <w:rFonts w:ascii="Calibri" w:hAnsi="Calibri" w:cs="Arial"/>
                      <w:color w:val="002060"/>
                    </w:rPr>
                    <w:t>Study at home</w:t>
                  </w:r>
                </w:p>
              </w:tc>
              <w:tc>
                <w:tcPr>
                  <w:tcW w:w="2468" w:type="dxa"/>
                </w:tcPr>
                <w:p w:rsidR="006725FB" w:rsidRPr="003B45BC" w:rsidRDefault="005F04BB" w:rsidP="00050B81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color w:val="002060"/>
                      <w:lang w:val="el-GR"/>
                    </w:rPr>
                    <w:t>60</w:t>
                  </w: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rPr>
                      <w:rFonts w:ascii="Calibri" w:hAnsi="Calibri" w:cs="Arial"/>
                      <w:i/>
                      <w:color w:val="002060"/>
                      <w:sz w:val="16"/>
                      <w:szCs w:val="16"/>
                      <w:lang w:val="el-GR"/>
                    </w:rPr>
                  </w:pPr>
                </w:p>
              </w:tc>
            </w:tr>
            <w:tr w:rsidR="006725FB" w:rsidRPr="00050B81" w:rsidTr="00050B81">
              <w:tc>
                <w:tcPr>
                  <w:tcW w:w="2467" w:type="dxa"/>
                  <w:shd w:val="clear" w:color="auto" w:fill="auto"/>
                </w:tcPr>
                <w:p w:rsidR="006725FB" w:rsidRPr="00B25922" w:rsidRDefault="006725FB" w:rsidP="008343A9">
                  <w:pPr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  <w:tc>
                <w:tcPr>
                  <w:tcW w:w="2468" w:type="dxa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color w:val="002060"/>
                      <w:lang w:val="el-GR"/>
                    </w:rPr>
                  </w:pPr>
                </w:p>
              </w:tc>
            </w:tr>
            <w:tr w:rsidR="006725FB" w:rsidRPr="00050B81" w:rsidTr="00907017">
              <w:tc>
                <w:tcPr>
                  <w:tcW w:w="2467" w:type="dxa"/>
                </w:tcPr>
                <w:p w:rsidR="006725FB" w:rsidRPr="002A2C0D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2A2C0D">
                    <w:rPr>
                      <w:rFonts w:ascii="Calibri" w:hAnsi="Calibri" w:cs="Arial"/>
                      <w:b/>
                      <w:i/>
                      <w:color w:val="002060"/>
                    </w:rPr>
                    <w:t>Course total</w:t>
                  </w:r>
                </w:p>
                <w:p w:rsidR="006725FB" w:rsidRPr="003D76B9" w:rsidRDefault="006725FB" w:rsidP="000931C2">
                  <w:pPr>
                    <w:rPr>
                      <w:rFonts w:ascii="Calibri" w:hAnsi="Calibri" w:cs="Arial"/>
                      <w:b/>
                      <w:i/>
                      <w:color w:val="002060"/>
                    </w:rPr>
                  </w:pPr>
                  <w:r w:rsidRPr="003D76B9">
                    <w:rPr>
                      <w:rFonts w:ascii="Calibri" w:hAnsi="Calibri" w:cs="Arial"/>
                      <w:b/>
                      <w:i/>
                      <w:color w:val="002060"/>
                    </w:rPr>
                    <w:t>(25 hours of student work load per ECTS)</w:t>
                  </w:r>
                </w:p>
              </w:tc>
              <w:tc>
                <w:tcPr>
                  <w:tcW w:w="2468" w:type="dxa"/>
                  <w:vAlign w:val="center"/>
                </w:tcPr>
                <w:p w:rsidR="006725FB" w:rsidRPr="003B45BC" w:rsidRDefault="006725FB" w:rsidP="008343A9">
                  <w:pPr>
                    <w:jc w:val="center"/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</w:pPr>
                  <w:r>
                    <w:rPr>
                      <w:rFonts w:ascii="Calibri" w:hAnsi="Calibri" w:cs="Arial"/>
                      <w:b/>
                      <w:i/>
                      <w:color w:val="002060"/>
                      <w:lang w:val="el-GR"/>
                    </w:rPr>
                    <w:t>125</w:t>
                  </w:r>
                </w:p>
              </w:tc>
            </w:tr>
          </w:tbl>
          <w:p w:rsidR="006725FB" w:rsidRPr="00050B81" w:rsidRDefault="006725FB" w:rsidP="00050B81">
            <w:pPr>
              <w:spacing w:after="0" w:line="240" w:lineRule="auto"/>
              <w:rPr>
                <w:rFonts w:ascii="Tahoma" w:eastAsia="Times New Roman" w:hAnsi="Tahoma" w:cs="Tahoma"/>
                <w:lang w:val="en-US"/>
              </w:rPr>
            </w:pPr>
          </w:p>
        </w:tc>
      </w:tr>
      <w:tr w:rsidR="0020684A" w:rsidRPr="006C74B6" w:rsidTr="00BF6D32">
        <w:tc>
          <w:tcPr>
            <w:tcW w:w="3306" w:type="dxa"/>
          </w:tcPr>
          <w:p w:rsidR="006725FB" w:rsidRPr="006725FB" w:rsidRDefault="006725FB" w:rsidP="006725F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sz w:val="20"/>
                <w:szCs w:val="20"/>
              </w:rPr>
            </w:pPr>
            <w:r w:rsidRPr="006725FB">
              <w:rPr>
                <w:rFonts w:ascii="Calibri" w:eastAsia="Times New Roman" w:hAnsi="Calibri" w:cs="Arial"/>
                <w:b/>
                <w:sz w:val="20"/>
                <w:szCs w:val="20"/>
              </w:rPr>
              <w:t>STUDENTS EVALUATION</w:t>
            </w:r>
          </w:p>
          <w:p w:rsidR="0020684A" w:rsidRPr="00050B81" w:rsidRDefault="0020684A" w:rsidP="00B25922">
            <w:pPr>
              <w:spacing w:after="0" w:line="240" w:lineRule="auto"/>
              <w:jc w:val="both"/>
              <w:rPr>
                <w:rFonts w:ascii="Calibri" w:eastAsia="Times New Roman" w:hAnsi="Calibri" w:cs="Arial"/>
                <w:i/>
                <w:sz w:val="16"/>
                <w:szCs w:val="16"/>
              </w:rPr>
            </w:pPr>
          </w:p>
        </w:tc>
        <w:tc>
          <w:tcPr>
            <w:tcW w:w="5166" w:type="dxa"/>
            <w:tcBorders>
              <w:bottom w:val="single" w:sz="4" w:space="0" w:color="auto"/>
            </w:tcBorders>
          </w:tcPr>
          <w:p w:rsidR="0020684A" w:rsidRPr="006725FB" w:rsidRDefault="00BC0029" w:rsidP="00E65448">
            <w:p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Written exams (10</w:t>
            </w:r>
            <w:r w:rsidR="006725FB">
              <w:rPr>
                <w:iCs/>
                <w:color w:val="002060"/>
                <w:lang w:val="en-US"/>
              </w:rPr>
              <w:t>0%) including:</w:t>
            </w:r>
          </w:p>
          <w:p w:rsidR="00BC0029" w:rsidRDefault="00BC0029" w:rsidP="00BC0029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Multiple choice questions</w:t>
            </w:r>
          </w:p>
          <w:p w:rsidR="0020684A" w:rsidRDefault="00BC0029" w:rsidP="004E56D6">
            <w:pPr>
              <w:pStyle w:val="ListParagraph"/>
              <w:numPr>
                <w:ilvl w:val="2"/>
                <w:numId w:val="12"/>
              </w:numPr>
              <w:spacing w:after="0" w:line="240" w:lineRule="auto"/>
              <w:ind w:left="564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 xml:space="preserve">Solving </w:t>
            </w:r>
            <w:r w:rsidR="004E56D6">
              <w:rPr>
                <w:iCs/>
                <w:color w:val="002060"/>
                <w:lang w:val="en-US"/>
              </w:rPr>
              <w:t>exercises</w:t>
            </w:r>
            <w:r w:rsidR="006725FB" w:rsidRPr="00BC0029">
              <w:rPr>
                <w:iCs/>
                <w:color w:val="002060"/>
                <w:lang w:val="en-US"/>
              </w:rPr>
              <w:t xml:space="preserve"> </w:t>
            </w:r>
          </w:p>
          <w:p w:rsidR="005F04BB" w:rsidRDefault="005F04BB" w:rsidP="005F04BB">
            <w:pPr>
              <w:spacing w:after="0" w:line="240" w:lineRule="auto"/>
              <w:rPr>
                <w:iCs/>
                <w:color w:val="002060"/>
                <w:lang w:val="en-US"/>
              </w:rPr>
            </w:pPr>
          </w:p>
          <w:p w:rsidR="005F04BB" w:rsidRPr="005F04BB" w:rsidRDefault="005F04BB" w:rsidP="005F04BB">
            <w:pPr>
              <w:spacing w:after="0" w:line="240" w:lineRule="auto"/>
              <w:rPr>
                <w:iCs/>
                <w:color w:val="002060"/>
                <w:lang w:val="en-US"/>
              </w:rPr>
            </w:pPr>
            <w:r>
              <w:rPr>
                <w:iCs/>
                <w:color w:val="002060"/>
                <w:lang w:val="en-US"/>
              </w:rPr>
              <w:t>T</w:t>
            </w:r>
            <w:r w:rsidRPr="005F04BB">
              <w:rPr>
                <w:iCs/>
                <w:color w:val="002060"/>
                <w:lang w:val="en-US"/>
              </w:rPr>
              <w:t xml:space="preserve">here is the possibility to </w:t>
            </w:r>
            <w:r>
              <w:rPr>
                <w:iCs/>
                <w:color w:val="002060"/>
                <w:lang w:val="en-US"/>
              </w:rPr>
              <w:t>conduct</w:t>
            </w:r>
            <w:r w:rsidRPr="005F04BB">
              <w:rPr>
                <w:iCs/>
                <w:color w:val="002060"/>
                <w:lang w:val="en-US"/>
              </w:rPr>
              <w:t xml:space="preserve"> the exams, either at the end of the </w:t>
            </w:r>
            <w:r>
              <w:rPr>
                <w:iCs/>
                <w:color w:val="002060"/>
                <w:lang w:val="en-US"/>
              </w:rPr>
              <w:t>S</w:t>
            </w:r>
            <w:r w:rsidRPr="005F04BB">
              <w:rPr>
                <w:iCs/>
                <w:color w:val="002060"/>
                <w:lang w:val="en-US"/>
              </w:rPr>
              <w:t xml:space="preserve">emester (with all the </w:t>
            </w:r>
            <w:r>
              <w:rPr>
                <w:iCs/>
                <w:color w:val="002060"/>
                <w:lang w:val="en-US"/>
              </w:rPr>
              <w:t xml:space="preserve">course </w:t>
            </w:r>
            <w:r w:rsidRPr="005F04BB">
              <w:rPr>
                <w:iCs/>
                <w:color w:val="002060"/>
                <w:lang w:val="en-US"/>
              </w:rPr>
              <w:t xml:space="preserve">material), or with two separate </w:t>
            </w:r>
            <w:r>
              <w:rPr>
                <w:iCs/>
                <w:color w:val="002060"/>
                <w:lang w:val="en-US"/>
              </w:rPr>
              <w:t>exams</w:t>
            </w:r>
            <w:r w:rsidRPr="005F04BB">
              <w:rPr>
                <w:iCs/>
                <w:color w:val="002060"/>
                <w:lang w:val="en-US"/>
              </w:rPr>
              <w:t xml:space="preserve">, in the middle and at the end of the semester, with half the </w:t>
            </w:r>
            <w:r w:rsidR="00FF47B3">
              <w:rPr>
                <w:iCs/>
                <w:color w:val="002060"/>
                <w:lang w:val="en-US"/>
              </w:rPr>
              <w:t xml:space="preserve">course </w:t>
            </w:r>
            <w:r w:rsidRPr="005F04BB">
              <w:rPr>
                <w:iCs/>
                <w:color w:val="002060"/>
                <w:lang w:val="en-US"/>
              </w:rPr>
              <w:t xml:space="preserve">material at a time. </w:t>
            </w:r>
          </w:p>
        </w:tc>
      </w:tr>
    </w:tbl>
    <w:p w:rsidR="00050B81" w:rsidRPr="00050B81" w:rsidRDefault="006725FB" w:rsidP="00050B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ind w:left="357" w:hanging="357"/>
        <w:rPr>
          <w:rFonts w:ascii="Calibri" w:eastAsia="Times New Roman" w:hAnsi="Calibri" w:cs="Arial"/>
          <w:b/>
          <w:color w:val="000000"/>
          <w:lang w:val="en-US"/>
        </w:rPr>
      </w:pPr>
      <w:r>
        <w:rPr>
          <w:rFonts w:ascii="Calibri" w:eastAsia="Times New Roman" w:hAnsi="Calibri" w:cs="Arial"/>
          <w:b/>
          <w:color w:val="000000"/>
          <w:lang w:val="en-US"/>
        </w:rPr>
        <w:t xml:space="preserve">BILBIOGRAPHY 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2"/>
      </w:tblGrid>
      <w:tr w:rsidR="00050B81" w:rsidRPr="009F2B58" w:rsidTr="00BF6D32">
        <w:tc>
          <w:tcPr>
            <w:tcW w:w="8472" w:type="dxa"/>
          </w:tcPr>
          <w:p w:rsidR="008D4C8C" w:rsidRPr="008D4C8C" w:rsidRDefault="006725FB" w:rsidP="008D4C8C">
            <w:pPr>
              <w:spacing w:after="0"/>
              <w:rPr>
                <w:rFonts w:ascii="Calibri" w:hAnsi="Calibri" w:cs="Arial"/>
                <w:color w:val="002060"/>
                <w:sz w:val="20"/>
                <w:szCs w:val="20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Suggested</w:t>
            </w:r>
            <w:r w:rsidR="008D4C8C">
              <w:rPr>
                <w:rFonts w:ascii="Calibri" w:hAnsi="Calibri" w:cs="Arial"/>
                <w:color w:val="002060"/>
                <w:sz w:val="20"/>
                <w:szCs w:val="20"/>
              </w:rPr>
              <w:t>:</w:t>
            </w:r>
          </w:p>
          <w:p w:rsidR="00FF47B3" w:rsidRPr="00FF47B3" w:rsidRDefault="00FF47B3" w:rsidP="00740BE0">
            <w:pPr>
              <w:numPr>
                <w:ilvl w:val="0"/>
                <w:numId w:val="26"/>
              </w:numPr>
              <w:spacing w:after="0" w:line="240" w:lineRule="auto"/>
              <w:jc w:val="both"/>
              <w:outlineLvl w:val="0"/>
              <w:rPr>
                <w:rFonts w:cs="Arial"/>
                <w:color w:val="002060"/>
                <w:sz w:val="20"/>
                <w:szCs w:val="20"/>
              </w:rPr>
            </w:pP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Georgakopoulos, Th., Lianos, Th., </w:t>
            </w:r>
            <w:proofErr w:type="spell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Benos</w:t>
            </w:r>
            <w:proofErr w:type="spellEnd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, Th., </w:t>
            </w:r>
            <w:proofErr w:type="spell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Tsekouras</w:t>
            </w:r>
            <w:proofErr w:type="spellEnd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, G.</w:t>
            </w:r>
            <w:proofErr w:type="gram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, 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Chatziprokopiou</w:t>
            </w:r>
            <w:proofErr w:type="spellEnd"/>
            <w:proofErr w:type="gramEnd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, M., Christou, G. 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>(2007): ‘</w:t>
            </w:r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>Introduction to Political Economy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>’, 7</w:t>
            </w:r>
            <w:proofErr w:type="spellStart"/>
            <w:r w:rsidRPr="00FF47B3">
              <w:rPr>
                <w:rFonts w:cs="Arial"/>
                <w:color w:val="002060"/>
                <w:sz w:val="20"/>
                <w:szCs w:val="20"/>
                <w:vertAlign w:val="superscript"/>
                <w:lang w:val="en-US"/>
              </w:rPr>
              <w:t>th</w:t>
            </w:r>
            <w:proofErr w:type="spellEnd"/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Edition, </w:t>
            </w:r>
            <w:proofErr w:type="spellStart"/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>Benos</w:t>
            </w:r>
            <w:proofErr w:type="spellEnd"/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Editions, Athens. </w:t>
            </w:r>
          </w:p>
          <w:p w:rsidR="00FF47B3" w:rsidRPr="00FF47B3" w:rsidRDefault="00FF47B3" w:rsidP="00740BE0">
            <w:pPr>
              <w:numPr>
                <w:ilvl w:val="0"/>
                <w:numId w:val="26"/>
              </w:numPr>
              <w:spacing w:after="0" w:line="240" w:lineRule="auto"/>
              <w:jc w:val="both"/>
              <w:outlineLvl w:val="0"/>
              <w:rPr>
                <w:rFonts w:cs="Arial"/>
                <w:color w:val="002060"/>
                <w:sz w:val="20"/>
                <w:szCs w:val="20"/>
              </w:rPr>
            </w:pPr>
            <w:proofErr w:type="spellStart"/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>Mankiw</w:t>
            </w:r>
            <w:proofErr w:type="spellEnd"/>
            <w:r w:rsidRPr="00FF47B3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>Gregory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>N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 xml:space="preserve">. </w:t>
            </w:r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>and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>Taylor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>Mark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  <w:r w:rsidRPr="00FF47B3">
              <w:rPr>
                <w:rFonts w:cs="Arial"/>
                <w:color w:val="002060"/>
                <w:sz w:val="20"/>
                <w:szCs w:val="20"/>
                <w:lang w:val="en-US"/>
              </w:rPr>
              <w:t>P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>. (2018): ‘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Economics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 xml:space="preserve"> (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>Microeconomics</w:t>
            </w:r>
            <w:r>
              <w:rPr>
                <w:rFonts w:cs="Arial"/>
                <w:color w:val="002060"/>
                <w:sz w:val="20"/>
                <w:szCs w:val="20"/>
              </w:rPr>
              <w:t>)’, 4th</w:t>
            </w:r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Edition, </w:t>
            </w:r>
            <w:proofErr w:type="spellStart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>Tziolas</w:t>
            </w:r>
            <w:proofErr w:type="spellEnd"/>
            <w:r>
              <w:rPr>
                <w:rFonts w:cs="Arial"/>
                <w:color w:val="002060"/>
                <w:sz w:val="20"/>
                <w:szCs w:val="20"/>
                <w:lang w:val="en-US"/>
              </w:rPr>
              <w:t xml:space="preserve"> Editions, Thessaloniki. </w:t>
            </w:r>
            <w:r w:rsidRPr="00FF47B3">
              <w:rPr>
                <w:rFonts w:cs="Arial"/>
                <w:color w:val="002060"/>
                <w:sz w:val="20"/>
                <w:szCs w:val="20"/>
              </w:rPr>
              <w:t xml:space="preserve"> </w:t>
            </w:r>
          </w:p>
          <w:p w:rsidR="000A6613" w:rsidRDefault="000A6613" w:rsidP="009F2B5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</w:p>
          <w:p w:rsidR="000A6613" w:rsidRDefault="000A6613" w:rsidP="009F2B5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</w:p>
          <w:p w:rsidR="008D4C8C" w:rsidRPr="009F2B58" w:rsidRDefault="009F2B58" w:rsidP="009F2B58">
            <w:pPr>
              <w:pStyle w:val="ListParagraph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</w:pPr>
            <w:r w:rsidRPr="009F2B58">
              <w:rPr>
                <w:rFonts w:ascii="Calibri" w:eastAsia="Times New Roman" w:hAnsi="Calibri" w:cs="Arial"/>
                <w:b/>
                <w:sz w:val="20"/>
                <w:szCs w:val="20"/>
                <w:lang w:val="en-US"/>
              </w:rPr>
              <w:lastRenderedPageBreak/>
              <w:t xml:space="preserve"> </w:t>
            </w:r>
          </w:p>
          <w:p w:rsidR="00FF47B3" w:rsidRDefault="00FF47B3" w:rsidP="00FF47B3">
            <w:p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Additional (optional) Bibliography: </w:t>
            </w:r>
          </w:p>
          <w:p w:rsidR="00FF47B3" w:rsidRPr="00FF47B3" w:rsidRDefault="00FF47B3" w:rsidP="00FF47B3">
            <w:p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Hill R. and T. Myatt (2010): ‘The Economics Anti-Textbook’, Zed Books, London &amp; New York.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Tae-</w:t>
            </w: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Hee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Jo, Lynne Chester, and Carlo </w:t>
            </w: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D'Ippoliti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Eds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) (2017): ‘The Routledge Handbook of Heterodox Economics: Theorizing, Analyzing, and Transforming Capitalism’, Routledge, New York.  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Prasch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R. (2008): ‘How Markets Work – Supply, Demand and the «Real World»’, Edward Elgar, Cheltenham, UK &amp; Northampton MA, USA.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Crotty J. (2017): ‘Understanding globalization, </w:t>
            </w: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financialization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, competition and </w:t>
            </w:r>
            <w:proofErr w:type="gram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crisis’</w:t>
            </w:r>
            <w:proofErr w:type="gram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, Edward Elgar, Cheltenham, UK &amp; Northampton MA, USA.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Birks St. (2016): ‘40 Critical Pointers for Students of Economics’, World Economics Association and College Publications.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proofErr w:type="gram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van</w:t>
            </w:r>
            <w:proofErr w:type="gram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Staveren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I. (2015): ‘Economics After the Crisis. An Introduction to Economics from a Pluralist and Global Perspective’, Routledge, New York.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Stilwell Fr. (2011): ‘Political Economy: The Contest of Economic Ideas’, </w:t>
            </w:r>
            <w:proofErr w:type="gram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3rd</w:t>
            </w:r>
            <w:proofErr w:type="gram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Edition, Oxford University Press.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Bougrine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, H., I. Parker and M. </w:t>
            </w: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Seccareccia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(2010): ‘Introducing Microeconomic Analysis: Issues, Questions, and Competing Views’, </w:t>
            </w: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Emond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Montgomery Publications, Toronto, Canada.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Kapp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, K.W. (2011): ‘The Foundations of Institutional Economics’, Routledge, Abingdon UK and NY.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Sherman, H., Hunt Ε.Κ., </w:t>
            </w: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Nesiba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, R., O’Hara, Ph. and B. </w:t>
            </w: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Wiens-Tuers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(2008): ‘Economics: An Introduction to Traditional and Radical Views’, </w:t>
            </w:r>
            <w:proofErr w:type="gram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7th</w:t>
            </w:r>
            <w:proofErr w:type="gram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Edition, M.E. Sharpe, New York. 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Lavoie M. (2006): ‘Introduction to Post-Keynesian Economics’, Palgrave Macmillan, NY.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Keen St. (2011): ‘Debunking Economics - Revised and Expanded Edition: The Naked Emperor Dethroned?</w:t>
            </w:r>
            <w:proofErr w:type="gram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’,</w:t>
            </w:r>
            <w:proofErr w:type="gram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Zed Books, London &amp; New York.</w:t>
            </w:r>
          </w:p>
          <w:p w:rsidR="00FF47B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Levine D. (1995): ‘Wealth and Freedom. An Introduction to Political Economy’, Cambridge University Press.</w:t>
            </w:r>
          </w:p>
          <w:p w:rsidR="000A6613" w:rsidRPr="00FF47B3" w:rsidRDefault="00FF47B3" w:rsidP="00FF47B3">
            <w:pPr>
              <w:pStyle w:val="ListParagraph"/>
              <w:numPr>
                <w:ilvl w:val="0"/>
                <w:numId w:val="27"/>
              </w:numPr>
              <w:spacing w:after="0"/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</w:pPr>
            <w:proofErr w:type="spellStart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>Fullbrook</w:t>
            </w:r>
            <w:proofErr w:type="spellEnd"/>
            <w:r w:rsidRPr="00FF47B3">
              <w:rPr>
                <w:rFonts w:ascii="Calibri" w:hAnsi="Calibri" w:cs="Arial"/>
                <w:color w:val="002060"/>
                <w:sz w:val="20"/>
                <w:szCs w:val="20"/>
                <w:lang w:val="en-US"/>
              </w:rPr>
              <w:t xml:space="preserve"> E. (Ed) (2008): ‘Pluralist Economics’, Zed Books, London &amp; New York.</w:t>
            </w:r>
          </w:p>
        </w:tc>
      </w:tr>
    </w:tbl>
    <w:p w:rsidR="00050B81" w:rsidRPr="009F2B58" w:rsidRDefault="00050B81" w:rsidP="00050B81">
      <w:pPr>
        <w:spacing w:after="0" w:line="240" w:lineRule="auto"/>
        <w:jc w:val="both"/>
        <w:rPr>
          <w:rFonts w:ascii="Cambria" w:eastAsia="Times New Roman" w:hAnsi="Cambria" w:cs="Times New Roman"/>
          <w:sz w:val="20"/>
          <w:szCs w:val="24"/>
          <w:lang w:val="en-US"/>
        </w:rPr>
      </w:pPr>
    </w:p>
    <w:p w:rsidR="00050B81" w:rsidRPr="009F2B58" w:rsidRDefault="00050B81" w:rsidP="00050B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66EDB" w:rsidRPr="009F2B58" w:rsidRDefault="00B66EDB">
      <w:pPr>
        <w:rPr>
          <w:lang w:val="en-US"/>
        </w:rPr>
      </w:pPr>
    </w:p>
    <w:sectPr w:rsidR="00B66EDB" w:rsidRPr="009F2B58" w:rsidSect="003548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B21"/>
    <w:multiLevelType w:val="hybridMultilevel"/>
    <w:tmpl w:val="E61A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85C2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D61"/>
    <w:multiLevelType w:val="hybridMultilevel"/>
    <w:tmpl w:val="91EC8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5CDC"/>
    <w:multiLevelType w:val="hybridMultilevel"/>
    <w:tmpl w:val="690C885E"/>
    <w:lvl w:ilvl="0" w:tplc="BF524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468A"/>
    <w:multiLevelType w:val="hybridMultilevel"/>
    <w:tmpl w:val="9926E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E68BE"/>
    <w:multiLevelType w:val="hybridMultilevel"/>
    <w:tmpl w:val="AD8C70E4"/>
    <w:lvl w:ilvl="0" w:tplc="D4567F0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1FA5"/>
    <w:multiLevelType w:val="hybridMultilevel"/>
    <w:tmpl w:val="8A102034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7F2ADB"/>
    <w:multiLevelType w:val="hybridMultilevel"/>
    <w:tmpl w:val="A0D807D0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B7D4D"/>
    <w:multiLevelType w:val="hybridMultilevel"/>
    <w:tmpl w:val="A336F4F8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84E0D"/>
    <w:multiLevelType w:val="hybridMultilevel"/>
    <w:tmpl w:val="959A9B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0AC47C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97D3A"/>
    <w:multiLevelType w:val="hybridMultilevel"/>
    <w:tmpl w:val="F53459F0"/>
    <w:lvl w:ilvl="0" w:tplc="8E585C2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F2F39"/>
    <w:multiLevelType w:val="hybridMultilevel"/>
    <w:tmpl w:val="8DDA6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74AE8"/>
    <w:multiLevelType w:val="hybridMultilevel"/>
    <w:tmpl w:val="C15A1EB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04DA4"/>
    <w:multiLevelType w:val="hybridMultilevel"/>
    <w:tmpl w:val="8CB0E5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F2502"/>
    <w:multiLevelType w:val="hybridMultilevel"/>
    <w:tmpl w:val="F044185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47426A"/>
    <w:multiLevelType w:val="hybridMultilevel"/>
    <w:tmpl w:val="444207BA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95887"/>
    <w:multiLevelType w:val="hybridMultilevel"/>
    <w:tmpl w:val="E11C8EF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5143381"/>
    <w:multiLevelType w:val="hybridMultilevel"/>
    <w:tmpl w:val="2FE00D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146C4"/>
    <w:multiLevelType w:val="hybridMultilevel"/>
    <w:tmpl w:val="428E95C4"/>
    <w:lvl w:ilvl="0" w:tplc="F4E45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F6399F"/>
    <w:multiLevelType w:val="hybridMultilevel"/>
    <w:tmpl w:val="6B9CC6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BA7D57"/>
    <w:multiLevelType w:val="hybridMultilevel"/>
    <w:tmpl w:val="74043CE0"/>
    <w:lvl w:ilvl="0" w:tplc="2ADE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FC1BA2"/>
    <w:multiLevelType w:val="hybridMultilevel"/>
    <w:tmpl w:val="90BA92F6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1" w15:restartNumberingAfterBreak="0">
    <w:nsid w:val="6FC65CD9"/>
    <w:multiLevelType w:val="hybridMultilevel"/>
    <w:tmpl w:val="CA84CE0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5244A2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F76FF"/>
    <w:multiLevelType w:val="hybridMultilevel"/>
    <w:tmpl w:val="DB7014EA"/>
    <w:lvl w:ilvl="0" w:tplc="BF5244A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0"/>
  </w:num>
  <w:num w:numId="4">
    <w:abstractNumId w:val="21"/>
  </w:num>
  <w:num w:numId="5">
    <w:abstractNumId w:val="21"/>
    <w:lvlOverride w:ilvl="0">
      <w:lvl w:ilvl="0" w:tplc="0409001B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BF5244A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6"/>
  </w:num>
  <w:num w:numId="11">
    <w:abstractNumId w:val="14"/>
  </w:num>
  <w:num w:numId="12">
    <w:abstractNumId w:val="2"/>
  </w:num>
  <w:num w:numId="13">
    <w:abstractNumId w:val="17"/>
  </w:num>
  <w:num w:numId="14">
    <w:abstractNumId w:val="22"/>
  </w:num>
  <w:num w:numId="15">
    <w:abstractNumId w:val="16"/>
  </w:num>
  <w:num w:numId="16">
    <w:abstractNumId w:val="15"/>
  </w:num>
  <w:num w:numId="17">
    <w:abstractNumId w:val="19"/>
  </w:num>
  <w:num w:numId="18">
    <w:abstractNumId w:val="1"/>
  </w:num>
  <w:num w:numId="19">
    <w:abstractNumId w:val="22"/>
  </w:num>
  <w:num w:numId="20">
    <w:abstractNumId w:val="11"/>
  </w:num>
  <w:num w:numId="21">
    <w:abstractNumId w:val="3"/>
  </w:num>
  <w:num w:numId="22">
    <w:abstractNumId w:val="13"/>
  </w:num>
  <w:num w:numId="23">
    <w:abstractNumId w:val="12"/>
  </w:num>
  <w:num w:numId="24">
    <w:abstractNumId w:val="8"/>
  </w:num>
  <w:num w:numId="25">
    <w:abstractNumId w:val="18"/>
  </w:num>
  <w:num w:numId="26">
    <w:abstractNumId w:val="4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0B81"/>
    <w:rsid w:val="00050B81"/>
    <w:rsid w:val="000A6613"/>
    <w:rsid w:val="000C4C3C"/>
    <w:rsid w:val="000D793E"/>
    <w:rsid w:val="000F1E0B"/>
    <w:rsid w:val="001A2E2E"/>
    <w:rsid w:val="001A3F9B"/>
    <w:rsid w:val="001C6016"/>
    <w:rsid w:val="001D341B"/>
    <w:rsid w:val="001D7055"/>
    <w:rsid w:val="0020684A"/>
    <w:rsid w:val="002246F5"/>
    <w:rsid w:val="002743E3"/>
    <w:rsid w:val="00275CDB"/>
    <w:rsid w:val="002A2C0D"/>
    <w:rsid w:val="003548B3"/>
    <w:rsid w:val="003966D9"/>
    <w:rsid w:val="003B45BC"/>
    <w:rsid w:val="004750C2"/>
    <w:rsid w:val="004D4631"/>
    <w:rsid w:val="004E03E3"/>
    <w:rsid w:val="004E56D6"/>
    <w:rsid w:val="00512283"/>
    <w:rsid w:val="00570308"/>
    <w:rsid w:val="005B41BC"/>
    <w:rsid w:val="005E094A"/>
    <w:rsid w:val="005F04BB"/>
    <w:rsid w:val="006151C0"/>
    <w:rsid w:val="006725FB"/>
    <w:rsid w:val="006C1EDF"/>
    <w:rsid w:val="006C4731"/>
    <w:rsid w:val="006C74B6"/>
    <w:rsid w:val="006C77DD"/>
    <w:rsid w:val="007144D5"/>
    <w:rsid w:val="00726337"/>
    <w:rsid w:val="008149C3"/>
    <w:rsid w:val="008343A9"/>
    <w:rsid w:val="008D17B8"/>
    <w:rsid w:val="008D1BD9"/>
    <w:rsid w:val="008D4C8C"/>
    <w:rsid w:val="00906BD3"/>
    <w:rsid w:val="00907017"/>
    <w:rsid w:val="00931216"/>
    <w:rsid w:val="00974C95"/>
    <w:rsid w:val="009F2B58"/>
    <w:rsid w:val="00A33000"/>
    <w:rsid w:val="00A45BD0"/>
    <w:rsid w:val="00A82CE2"/>
    <w:rsid w:val="00AA2391"/>
    <w:rsid w:val="00AD5817"/>
    <w:rsid w:val="00AE206F"/>
    <w:rsid w:val="00B25922"/>
    <w:rsid w:val="00B425BF"/>
    <w:rsid w:val="00B66EDB"/>
    <w:rsid w:val="00BB5C14"/>
    <w:rsid w:val="00BC0029"/>
    <w:rsid w:val="00CD320A"/>
    <w:rsid w:val="00D924F0"/>
    <w:rsid w:val="00D94F8C"/>
    <w:rsid w:val="00DC6A5A"/>
    <w:rsid w:val="00E53803"/>
    <w:rsid w:val="00EA1E0D"/>
    <w:rsid w:val="00EB1E49"/>
    <w:rsid w:val="00F840AB"/>
    <w:rsid w:val="00F91CA6"/>
    <w:rsid w:val="00FA4027"/>
    <w:rsid w:val="00FE7016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E98B06"/>
  <w15:docId w15:val="{58E3D990-83B9-427B-9167-917E176DC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34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91"/>
    <w:rPr>
      <w:color w:val="0000FF"/>
      <w:u w:val="single"/>
    </w:rPr>
  </w:style>
  <w:style w:type="character" w:customStyle="1" w:styleId="tlid-translation">
    <w:name w:val="tlid-translation"/>
    <w:basedOn w:val="DefaultParagraphFont"/>
    <w:rsid w:val="008D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881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ipsil</dc:creator>
  <cp:lastModifiedBy>Pavlos Karanikolas</cp:lastModifiedBy>
  <cp:revision>6</cp:revision>
  <dcterms:created xsi:type="dcterms:W3CDTF">2020-08-08T08:02:00Z</dcterms:created>
  <dcterms:modified xsi:type="dcterms:W3CDTF">2020-08-26T08:49:00Z</dcterms:modified>
</cp:coreProperties>
</file>