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1" w:rsidRPr="00C20232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2"/>
        <w:gridCol w:w="1127"/>
        <w:gridCol w:w="1285"/>
        <w:gridCol w:w="1204"/>
        <w:gridCol w:w="346"/>
        <w:gridCol w:w="1388"/>
      </w:tblGrid>
      <w:tr w:rsidR="00050B81" w:rsidRPr="00E84DA4" w:rsidTr="00F872AE">
        <w:tc>
          <w:tcPr>
            <w:tcW w:w="3172" w:type="dxa"/>
            <w:shd w:val="clear" w:color="auto" w:fill="DDD9C3" w:themeFill="background2" w:themeFillShade="E6"/>
          </w:tcPr>
          <w:p w:rsidR="00050B81" w:rsidRPr="00050B81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350" w:type="dxa"/>
            <w:gridSpan w:val="5"/>
          </w:tcPr>
          <w:p w:rsidR="00050B81" w:rsidRPr="00050B81" w:rsidRDefault="00E84DA4" w:rsidP="00E84DA4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F6BB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Applied Economics and Social Sciences</w:t>
            </w:r>
            <w:r w:rsidRPr="00096C7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E84DA4" w:rsidTr="00F872AE">
        <w:tc>
          <w:tcPr>
            <w:tcW w:w="3172" w:type="dxa"/>
            <w:shd w:val="clear" w:color="auto" w:fill="DDD9C3" w:themeFill="background2" w:themeFillShade="E6"/>
          </w:tcPr>
          <w:p w:rsidR="00050B81" w:rsidRPr="00050B81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350" w:type="dxa"/>
            <w:gridSpan w:val="5"/>
          </w:tcPr>
          <w:p w:rsidR="00050B81" w:rsidRPr="00E84DA4" w:rsidRDefault="00E84DA4" w:rsidP="00E84DA4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  <w:r w:rsidRPr="00E84DA4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050B81" w:rsidTr="00F872AE">
        <w:tc>
          <w:tcPr>
            <w:tcW w:w="3172" w:type="dxa"/>
            <w:shd w:val="clear" w:color="auto" w:fill="DDD9C3" w:themeFill="background2" w:themeFillShade="E6"/>
          </w:tcPr>
          <w:p w:rsidR="00050B81" w:rsidRPr="00050B81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350" w:type="dxa"/>
            <w:gridSpan w:val="5"/>
          </w:tcPr>
          <w:p w:rsidR="00050B81" w:rsidRPr="002B37F5" w:rsidRDefault="0049495F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</w:p>
        </w:tc>
      </w:tr>
      <w:tr w:rsidR="00050B81" w:rsidRPr="00050B81" w:rsidTr="00F872AE">
        <w:tc>
          <w:tcPr>
            <w:tcW w:w="3172" w:type="dxa"/>
            <w:shd w:val="clear" w:color="auto" w:fill="DDD9C3" w:themeFill="background2" w:themeFillShade="E6"/>
          </w:tcPr>
          <w:p w:rsidR="00050B81" w:rsidRPr="001A3F9B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27" w:type="dxa"/>
          </w:tcPr>
          <w:p w:rsidR="00050B81" w:rsidRPr="002B37F5" w:rsidRDefault="00E84DA4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3702</w:t>
            </w:r>
          </w:p>
        </w:tc>
        <w:tc>
          <w:tcPr>
            <w:tcW w:w="2489" w:type="dxa"/>
            <w:gridSpan w:val="2"/>
            <w:shd w:val="clear" w:color="auto" w:fill="DDD9C3" w:themeFill="background2" w:themeFillShade="E6"/>
          </w:tcPr>
          <w:p w:rsidR="00050B81" w:rsidRPr="002B37F5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734" w:type="dxa"/>
            <w:gridSpan w:val="2"/>
          </w:tcPr>
          <w:p w:rsidR="00050B81" w:rsidRPr="002B37F5" w:rsidRDefault="00E84DA4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495F">
              <w:rPr>
                <w:rFonts w:ascii="Calibri" w:eastAsia="Times New Roman" w:hAnsi="Calibri" w:cs="Arial"/>
                <w:sz w:val="20"/>
                <w:szCs w:val="20"/>
              </w:rPr>
              <w:t xml:space="preserve">th </w:t>
            </w:r>
          </w:p>
        </w:tc>
      </w:tr>
      <w:tr w:rsidR="00050B81" w:rsidRPr="003B45BC" w:rsidTr="00F872AE">
        <w:trPr>
          <w:trHeight w:val="375"/>
        </w:trPr>
        <w:tc>
          <w:tcPr>
            <w:tcW w:w="3172" w:type="dxa"/>
            <w:shd w:val="clear" w:color="auto" w:fill="DDD9C3" w:themeFill="background2" w:themeFillShade="E6"/>
            <w:vAlign w:val="center"/>
          </w:tcPr>
          <w:p w:rsidR="00050B81" w:rsidRPr="00050B81" w:rsidRDefault="0049495F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350" w:type="dxa"/>
            <w:gridSpan w:val="5"/>
            <w:vAlign w:val="center"/>
          </w:tcPr>
          <w:p w:rsidR="00050B81" w:rsidRPr="00096C7B" w:rsidRDefault="00096C7B" w:rsidP="00542B73">
            <w:pPr>
              <w:spacing w:after="0" w:line="240" w:lineRule="auto"/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4F81BD" w:themeColor="accent1"/>
                <w:sz w:val="20"/>
                <w:szCs w:val="20"/>
                <w:lang w:val="en-US"/>
              </w:rPr>
              <w:t>FOOD SUPPLY CHAIN</w:t>
            </w:r>
          </w:p>
        </w:tc>
      </w:tr>
      <w:tr w:rsidR="00050B81" w:rsidRPr="00050B81" w:rsidTr="00F872AE">
        <w:trPr>
          <w:trHeight w:val="196"/>
        </w:trPr>
        <w:tc>
          <w:tcPr>
            <w:tcW w:w="5584" w:type="dxa"/>
            <w:gridSpan w:val="3"/>
            <w:shd w:val="clear" w:color="auto" w:fill="DDD9C3" w:themeFill="background2" w:themeFillShade="E6"/>
            <w:vAlign w:val="center"/>
          </w:tcPr>
          <w:p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0" w:type="dxa"/>
            <w:gridSpan w:val="2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</w:tcPr>
          <w:p w:rsidR="00050B81" w:rsidRPr="00050B81" w:rsidRDefault="008226F4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CREDITS/</w:t>
            </w:r>
            <w:r w:rsidR="0049495F"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F872AE" w:rsidRPr="00050B81" w:rsidTr="00F872AE">
        <w:trPr>
          <w:trHeight w:val="194"/>
        </w:trPr>
        <w:tc>
          <w:tcPr>
            <w:tcW w:w="5584" w:type="dxa"/>
            <w:gridSpan w:val="3"/>
          </w:tcPr>
          <w:p w:rsidR="00F872AE" w:rsidRPr="00BE2E0A" w:rsidRDefault="00F872AE" w:rsidP="00AE28F4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L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ectures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and practical exercises </w:t>
            </w:r>
            <w:r w:rsidRPr="00BE2E0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F872AE" w:rsidRPr="00DF6BB2" w:rsidRDefault="00F872AE" w:rsidP="00AE28F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6BB2">
              <w:rPr>
                <w:rFonts w:cs="Arial"/>
                <w:sz w:val="20"/>
                <w:szCs w:val="20"/>
                <w:lang w:val="en-US"/>
              </w:rPr>
              <w:t>5</w:t>
            </w:r>
            <w:r w:rsidRPr="00DF6BB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(4 </w:t>
            </w:r>
            <w:r>
              <w:rPr>
                <w:rFonts w:cs="Arial"/>
                <w:sz w:val="20"/>
                <w:szCs w:val="20"/>
                <w:lang w:val="en-US"/>
              </w:rPr>
              <w:t>theory &amp; 1 exercises)</w:t>
            </w:r>
          </w:p>
        </w:tc>
        <w:tc>
          <w:tcPr>
            <w:tcW w:w="1388" w:type="dxa"/>
          </w:tcPr>
          <w:p w:rsidR="00F872AE" w:rsidRPr="00BE2E0A" w:rsidRDefault="00F872AE" w:rsidP="00AE28F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F872AE" w:rsidRPr="00050B81" w:rsidTr="00F872AE">
        <w:trPr>
          <w:trHeight w:val="194"/>
        </w:trPr>
        <w:tc>
          <w:tcPr>
            <w:tcW w:w="5584" w:type="dxa"/>
            <w:gridSpan w:val="3"/>
          </w:tcPr>
          <w:p w:rsidR="00F872AE" w:rsidRPr="00726337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872AE" w:rsidRPr="00726337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F872AE" w:rsidRPr="00726337" w:rsidRDefault="00F872AE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872AE" w:rsidRPr="00050B81" w:rsidTr="00F872AE">
        <w:trPr>
          <w:trHeight w:val="194"/>
        </w:trPr>
        <w:tc>
          <w:tcPr>
            <w:tcW w:w="5584" w:type="dxa"/>
            <w:gridSpan w:val="3"/>
          </w:tcPr>
          <w:p w:rsidR="00F872AE" w:rsidRPr="00726337" w:rsidRDefault="00F872AE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F872AE" w:rsidRPr="00726337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F872AE" w:rsidRPr="00726337" w:rsidRDefault="00F872AE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872AE" w:rsidRPr="00050B81" w:rsidTr="00F872AE">
        <w:trPr>
          <w:trHeight w:val="194"/>
        </w:trPr>
        <w:tc>
          <w:tcPr>
            <w:tcW w:w="5584" w:type="dxa"/>
            <w:gridSpan w:val="3"/>
            <w:shd w:val="clear" w:color="auto" w:fill="DDD9C3" w:themeFill="background2" w:themeFillShade="E6"/>
          </w:tcPr>
          <w:p w:rsidR="00F872AE" w:rsidRPr="0094771B" w:rsidRDefault="00F872AE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F872AE" w:rsidRPr="00050B81" w:rsidRDefault="00F872AE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872AE" w:rsidRPr="00E84DA4" w:rsidTr="00F872AE">
        <w:trPr>
          <w:trHeight w:val="599"/>
        </w:trPr>
        <w:tc>
          <w:tcPr>
            <w:tcW w:w="3172" w:type="dxa"/>
            <w:shd w:val="clear" w:color="auto" w:fill="DDD9C3" w:themeFill="background2" w:themeFillShade="E6"/>
          </w:tcPr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350" w:type="dxa"/>
            <w:gridSpan w:val="5"/>
          </w:tcPr>
          <w:p w:rsidR="00F872AE" w:rsidRPr="00BE2E0A" w:rsidRDefault="00F872AE" w:rsidP="00AE28F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Scientific area</w:t>
            </w: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872AE" w:rsidRPr="00050B81" w:rsidTr="00F872AE">
        <w:tc>
          <w:tcPr>
            <w:tcW w:w="3172" w:type="dxa"/>
            <w:shd w:val="clear" w:color="auto" w:fill="DDD9C3" w:themeFill="background2" w:themeFillShade="E6"/>
          </w:tcPr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350" w:type="dxa"/>
            <w:gridSpan w:val="5"/>
          </w:tcPr>
          <w:p w:rsidR="00F872AE" w:rsidRPr="00BE2E0A" w:rsidRDefault="00F872AE" w:rsidP="00AE28F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872AE" w:rsidRPr="00E84DA4" w:rsidTr="00F872AE">
        <w:tc>
          <w:tcPr>
            <w:tcW w:w="3172" w:type="dxa"/>
            <w:shd w:val="clear" w:color="auto" w:fill="DDD9C3" w:themeFill="background2" w:themeFillShade="E6"/>
          </w:tcPr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350" w:type="dxa"/>
            <w:gridSpan w:val="5"/>
          </w:tcPr>
          <w:p w:rsidR="00F872AE" w:rsidRPr="00BE2E0A" w:rsidRDefault="00F872AE" w:rsidP="00AE28F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F872AE" w:rsidRPr="00050B81" w:rsidTr="00F872AE">
        <w:tc>
          <w:tcPr>
            <w:tcW w:w="3172" w:type="dxa"/>
            <w:shd w:val="clear" w:color="auto" w:fill="DDD9C3" w:themeFill="background2" w:themeFillShade="E6"/>
          </w:tcPr>
          <w:p w:rsidR="00F872AE" w:rsidRPr="00096C7B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096C7B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350" w:type="dxa"/>
            <w:gridSpan w:val="5"/>
          </w:tcPr>
          <w:p w:rsidR="00F872AE" w:rsidRPr="00465637" w:rsidRDefault="00F872AE" w:rsidP="00AE28F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F872AE" w:rsidRPr="0094771B" w:rsidTr="00F872AE">
        <w:tc>
          <w:tcPr>
            <w:tcW w:w="3172" w:type="dxa"/>
            <w:shd w:val="clear" w:color="auto" w:fill="DDD9C3" w:themeFill="background2" w:themeFillShade="E6"/>
          </w:tcPr>
          <w:p w:rsidR="00F872AE" w:rsidRPr="00050B81" w:rsidRDefault="00F872AE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350" w:type="dxa"/>
            <w:gridSpan w:val="5"/>
          </w:tcPr>
          <w:p w:rsidR="00F872AE" w:rsidRPr="00F872AE" w:rsidRDefault="00F872AE" w:rsidP="00007AB8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1A3F9B" w:rsidRPr="00E84DA4" w:rsidTr="00050B81">
        <w:tc>
          <w:tcPr>
            <w:tcW w:w="8472" w:type="dxa"/>
            <w:gridSpan w:val="2"/>
          </w:tcPr>
          <w:p w:rsidR="0049495F" w:rsidRPr="00096C7B" w:rsidRDefault="0049495F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The course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deals with issues of food supply-chain planning and operation. Main focus is on the strategic role and 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the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current trends in supply chain management, on 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the enhancement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of 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customer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satisfaction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, on the application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of quantitative methods for modeling and solving complex management problems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, such as </w:t>
            </w:r>
            <w:r w:rsidR="001A5C9E" w:rsidRP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policy issues, market structure and international trade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, as well as the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introduction of novel technologies (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e.g. </w:t>
            </w:r>
            <w:proofErr w:type="spellStart"/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telematics</w:t>
            </w:r>
            <w:proofErr w:type="spellEnd"/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and RFID). </w:t>
            </w:r>
          </w:p>
          <w:p w:rsidR="006F09D3" w:rsidRPr="00096C7B" w:rsidRDefault="006F09D3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D12945" w:rsidRPr="00096C7B" w:rsidRDefault="00D12945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Upon completion of the course, students will be able to:</w:t>
            </w:r>
          </w:p>
          <w:p w:rsidR="00D12945" w:rsidRPr="00096C7B" w:rsidRDefault="00D12945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D12945" w:rsidRPr="00096C7B" w:rsidRDefault="00D12945" w:rsidP="006F09D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Understand the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basic</w:t>
            </w: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principles</w:t>
            </w:r>
            <w:r w:rsidR="001A5C9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, </w:t>
            </w:r>
            <w:r w:rsidR="001A5C9E"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the structure and </w:t>
            </w:r>
            <w:r w:rsidR="001A5C9E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the core </w:t>
            </w:r>
            <w:r w:rsidR="001A5C9E"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components of food supply chain</w:t>
            </w:r>
            <w:r w:rsidR="001A5C9E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management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with a special emphasis on designing and application.</w:t>
            </w:r>
          </w:p>
          <w:p w:rsidR="00D12945" w:rsidRDefault="00D12945" w:rsidP="006F09D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Manage modern tools and techniques </w:t>
            </w:r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to plan, operate and audit supply channels</w:t>
            </w:r>
            <w:r w:rsid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, as well as the purchase and storage of food</w:t>
            </w:r>
            <w:r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.</w:t>
            </w:r>
          </w:p>
          <w:p w:rsidR="00676F3A" w:rsidRPr="00096C7B" w:rsidRDefault="00676F3A" w:rsidP="006F09D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</w:t>
            </w:r>
            <w:r w:rsidRP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ecognise</w:t>
            </w:r>
            <w:proofErr w:type="spellEnd"/>
            <w:r w:rsidRP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the parties involved in </w:t>
            </w:r>
            <w:proofErr w:type="spellStart"/>
            <w:r w:rsidRP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agri</w:t>
            </w:r>
            <w:proofErr w:type="spellEnd"/>
            <w:r w:rsidRPr="00676F3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-food supply chains</w:t>
            </w:r>
          </w:p>
          <w:p w:rsidR="00A84964" w:rsidRPr="00096C7B" w:rsidRDefault="002B76A5" w:rsidP="006F09D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Understand and evaluate new technologies (e-logistics) in food SC (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telematics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, RFID)</w:t>
            </w:r>
            <w:r w:rsidR="00A84964" w:rsidRPr="00096C7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.</w:t>
            </w:r>
          </w:p>
          <w:p w:rsidR="00A84964" w:rsidRPr="002B76A5" w:rsidRDefault="00676F3A" w:rsidP="002B76A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GB"/>
              </w:rPr>
              <w:t>E</w:t>
            </w: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valuate the drivers </w:t>
            </w:r>
            <w:r>
              <w:rPr>
                <w:rFonts w:cs="Arial"/>
                <w:color w:val="002060"/>
                <w:sz w:val="20"/>
                <w:szCs w:val="20"/>
                <w:lang w:val="en-GB"/>
              </w:rPr>
              <w:t>and m</w:t>
            </w:r>
            <w:proofErr w:type="spellStart"/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ake</w:t>
            </w:r>
            <w:proofErr w:type="spellEnd"/>
            <w:r w:rsidR="002B76A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strategic decisions concerning outsourcing</w:t>
            </w:r>
          </w:p>
          <w:p w:rsidR="001A3F9B" w:rsidRPr="00096C7B" w:rsidRDefault="001A3F9B" w:rsidP="001A3F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</w:tr>
      <w:tr w:rsidR="00050B81" w:rsidRPr="00050B81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E84DA4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A84964" w:rsidRPr="00096C7B" w:rsidRDefault="00A84964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096C7B">
              <w:rPr>
                <w:rFonts w:ascii="Calibri" w:eastAsia="Times New Roman" w:hAnsi="Calibri" w:cs="Arial"/>
                <w:lang w:val="en-US"/>
              </w:rPr>
              <w:t>Search, analysis and synthesis of data and information with the use of necessary technologies</w:t>
            </w:r>
          </w:p>
          <w:p w:rsidR="00A84964" w:rsidRDefault="00A84964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Adaptation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to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new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r w:rsidR="00676F3A" w:rsidRPr="00A87D26">
              <w:rPr>
                <w:rFonts w:eastAsia="Calibri"/>
                <w:color w:val="002060"/>
                <w:lang w:val="en-GB"/>
              </w:rPr>
              <w:t>situations</w:t>
            </w:r>
          </w:p>
          <w:p w:rsidR="00676F3A" w:rsidRPr="00676F3A" w:rsidRDefault="00A84964" w:rsidP="00676F3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Decision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</w:rPr>
              <w:t>making</w:t>
            </w:r>
            <w:proofErr w:type="spellEnd"/>
          </w:p>
          <w:p w:rsidR="00676F3A" w:rsidRPr="00676F3A" w:rsidRDefault="00676F3A" w:rsidP="00676F3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</w:rPr>
            </w:pPr>
            <w:r w:rsidRPr="00676F3A">
              <w:rPr>
                <w:rFonts w:eastAsia="Calibri"/>
                <w:color w:val="002060"/>
                <w:lang w:val="en-GB"/>
              </w:rPr>
              <w:t xml:space="preserve">Work autonomously </w:t>
            </w:r>
          </w:p>
          <w:p w:rsidR="00676F3A" w:rsidRPr="00676F3A" w:rsidRDefault="00676F3A" w:rsidP="00676F3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676F3A">
              <w:rPr>
                <w:rFonts w:eastAsia="Calibri"/>
                <w:color w:val="002060"/>
                <w:lang w:val="en-GB"/>
              </w:rPr>
              <w:t>Design and manage projects</w:t>
            </w:r>
          </w:p>
          <w:p w:rsidR="00676F3A" w:rsidRPr="00676F3A" w:rsidRDefault="00676F3A" w:rsidP="00676F3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676F3A">
              <w:rPr>
                <w:rFonts w:eastAsia="Calibri"/>
                <w:color w:val="002060"/>
                <w:lang w:val="en-GB"/>
              </w:rPr>
              <w:t>Respect natural environment</w:t>
            </w:r>
          </w:p>
          <w:p w:rsidR="00676F3A" w:rsidRPr="00676F3A" w:rsidRDefault="00676F3A" w:rsidP="00676F3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A87D26">
              <w:rPr>
                <w:rFonts w:eastAsia="Calibri"/>
                <w:color w:val="002060"/>
                <w:lang w:val="en-GB"/>
              </w:rPr>
              <w:t>Advance free, creative and causative thinking</w:t>
            </w:r>
          </w:p>
          <w:p w:rsidR="005256C8" w:rsidRPr="00096C7B" w:rsidRDefault="005256C8" w:rsidP="0052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Calibri" w:eastAsia="Calibri" w:hAnsi="Calibri" w:cs="Times New Roman"/>
                <w:color w:val="002060"/>
                <w:lang w:val="en-US"/>
              </w:rPr>
            </w:pPr>
          </w:p>
          <w:p w:rsidR="00050B81" w:rsidRPr="00096C7B" w:rsidRDefault="00050B81" w:rsidP="001D341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</w:tr>
    </w:tbl>
    <w:p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1A5C9E" w:rsidTr="00952292">
        <w:tc>
          <w:tcPr>
            <w:tcW w:w="8472" w:type="dxa"/>
          </w:tcPr>
          <w:p w:rsidR="00676F3A" w:rsidRPr="00A87D26" w:rsidRDefault="00676F3A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Introduction to basic concepts</w:t>
            </w:r>
            <w:r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of food supply chains</w:t>
            </w:r>
          </w:p>
          <w:p w:rsidR="00676F3A" w:rsidRPr="00A87D26" w:rsidRDefault="00676F3A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The stakeholders in </w:t>
            </w:r>
            <w:proofErr w:type="spellStart"/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agri</w:t>
            </w:r>
            <w:proofErr w:type="spellEnd"/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-food supply chains </w:t>
            </w:r>
          </w:p>
          <w:p w:rsidR="000868E5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Value chain </w:t>
            </w:r>
          </w:p>
          <w:p w:rsidR="000868E5" w:rsidRPr="00A87D26" w:rsidRDefault="00676F3A" w:rsidP="000868E5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Policy issues</w:t>
            </w:r>
            <w:r w:rsidR="000868E5"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</w:t>
            </w:r>
            <w:r w:rsidR="000868E5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&amp; </w:t>
            </w:r>
            <w:r w:rsidR="000868E5"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Market structure</w:t>
            </w:r>
            <w:r w:rsidR="000868E5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, </w:t>
            </w:r>
            <w:r w:rsidR="000868E5"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International trade</w:t>
            </w:r>
          </w:p>
          <w:p w:rsidR="000868E5" w:rsidRPr="00A87D26" w:rsidRDefault="000868E5" w:rsidP="000868E5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lang w:val="en-US"/>
              </w:rPr>
              <w:t>Order management and customer service, distribution channels operations</w:t>
            </w:r>
          </w:p>
          <w:p w:rsidR="00676F3A" w:rsidRPr="00A87D26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lang w:val="en-US"/>
              </w:rPr>
              <w:t>Forecasting future demand/sales and storage/warehouse management</w:t>
            </w:r>
          </w:p>
          <w:p w:rsidR="00676F3A" w:rsidRPr="00A87D26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lang w:val="en-US"/>
              </w:rPr>
              <w:t>Purchase &amp; Storage of food products</w:t>
            </w: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676F3A" w:rsidRPr="00A87D26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lang w:val="en-US"/>
              </w:rPr>
              <w:t>Location of storage facilities and distribution hubs,</w:t>
            </w: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Natural product distribution: transport and distribution processes</w:t>
            </w:r>
          </w:p>
          <w:p w:rsidR="00676F3A" w:rsidRPr="00A87D26" w:rsidRDefault="00676F3A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Types of supply chains in different categories of </w:t>
            </w:r>
            <w:proofErr w:type="spellStart"/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agri</w:t>
            </w:r>
            <w:proofErr w:type="spellEnd"/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-food products</w:t>
            </w:r>
          </w:p>
          <w:p w:rsidR="00676F3A" w:rsidRPr="00A87D26" w:rsidRDefault="00676F3A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Risk management</w:t>
            </w:r>
            <w:r w:rsidR="000868E5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- HACCP</w:t>
            </w:r>
          </w:p>
          <w:p w:rsidR="00676F3A" w:rsidRPr="00A87D26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lang w:val="en-US"/>
              </w:rPr>
              <w:t>Outsourcing in logistics (3PL-4PL)</w:t>
            </w: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0868E5" w:rsidRDefault="000868E5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cs="Arial"/>
                <w:color w:val="002060"/>
                <w:sz w:val="20"/>
                <w:szCs w:val="20"/>
                <w:lang w:val="en-GB"/>
              </w:rPr>
              <w:t>Sustainable Supply Chain</w:t>
            </w:r>
          </w:p>
          <w:p w:rsidR="000868E5" w:rsidRDefault="000868E5" w:rsidP="000868E5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Future trends</w:t>
            </w:r>
            <w:r>
              <w:rPr>
                <w:rFonts w:cs="Arial"/>
                <w:color w:val="002060"/>
                <w:sz w:val="20"/>
                <w:szCs w:val="20"/>
                <w:lang w:val="en-GB"/>
              </w:rPr>
              <w:t xml:space="preserve">, New technologies in Supply Chain, </w:t>
            </w:r>
            <w:r>
              <w:rPr>
                <w:rFonts w:ascii="Calibri" w:hAnsi="Calibri"/>
                <w:lang w:val="en-US"/>
              </w:rPr>
              <w:t>Logistics information systems</w:t>
            </w:r>
          </w:p>
          <w:p w:rsidR="00676F3A" w:rsidRPr="00A87D26" w:rsidRDefault="00676F3A" w:rsidP="00676F3A">
            <w:pPr>
              <w:pStyle w:val="a4"/>
              <w:numPr>
                <w:ilvl w:val="0"/>
                <w:numId w:val="12"/>
              </w:numPr>
              <w:spacing w:before="60" w:after="60" w:line="288" w:lineRule="auto"/>
              <w:jc w:val="both"/>
              <w:rPr>
                <w:rFonts w:cs="Arial"/>
                <w:color w:val="002060"/>
                <w:sz w:val="20"/>
                <w:szCs w:val="20"/>
                <w:lang w:val="en-GB"/>
              </w:rPr>
            </w:pPr>
            <w:r w:rsidRPr="00A87D26">
              <w:rPr>
                <w:rFonts w:cs="Arial"/>
                <w:color w:val="002060"/>
                <w:sz w:val="20"/>
                <w:szCs w:val="20"/>
                <w:lang w:val="en-GB"/>
              </w:rPr>
              <w:t>Case studies</w:t>
            </w:r>
            <w:r w:rsidR="000868E5">
              <w:rPr>
                <w:rFonts w:cs="Arial"/>
                <w:color w:val="002060"/>
                <w:sz w:val="20"/>
                <w:szCs w:val="20"/>
                <w:lang w:val="en-GB"/>
              </w:rPr>
              <w:t>, Special topics</w:t>
            </w:r>
          </w:p>
          <w:p w:rsidR="00362931" w:rsidRPr="00096C7B" w:rsidRDefault="00362931" w:rsidP="000868E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050B81" w:rsidRPr="00050B81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 xml:space="preserve">TEACHING </w:t>
      </w:r>
      <w:proofErr w:type="spellStart"/>
      <w:r>
        <w:rPr>
          <w:rFonts w:ascii="Calibri" w:eastAsia="Times New Roman" w:hAnsi="Calibri" w:cs="Arial"/>
          <w:b/>
          <w:color w:val="000000"/>
        </w:rPr>
        <w:t>and</w:t>
      </w:r>
      <w:proofErr w:type="spellEnd"/>
      <w:r>
        <w:rPr>
          <w:rFonts w:ascii="Calibri" w:eastAsia="Times New Roman" w:hAnsi="Calibri" w:cs="Arial"/>
          <w:b/>
          <w:color w:val="000000"/>
        </w:rPr>
        <w:t xml:space="preserve">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50B81" w:rsidRPr="00E84DA4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050B81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 w:rsidR="00B25922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050B81" w:rsidRPr="00096C7B" w:rsidRDefault="00795E94" w:rsidP="009A0DEB">
            <w:pPr>
              <w:rPr>
                <w:iCs/>
                <w:color w:val="002060"/>
                <w:lang w:val="en-US"/>
              </w:rPr>
            </w:pPr>
            <w:r w:rsidRPr="00096C7B">
              <w:rPr>
                <w:iCs/>
                <w:color w:val="002060"/>
                <w:lang w:val="en-US"/>
              </w:rPr>
              <w:t>In suitably equipped teaching rooms</w:t>
            </w:r>
          </w:p>
        </w:tc>
      </w:tr>
      <w:tr w:rsidR="00050B81" w:rsidRPr="00E84DA4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096C7B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96C7B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="00B25922" w:rsidRPr="00096C7B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9A0DEB" w:rsidRPr="00096C7B" w:rsidRDefault="00795E94" w:rsidP="001D34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96C7B">
              <w:rPr>
                <w:rFonts w:ascii="Calibri" w:eastAsia="Times New Roman" w:hAnsi="Calibri" w:cs="Times New Roman"/>
                <w:lang w:val="en-US"/>
              </w:rPr>
              <w:t xml:space="preserve">The course is completely </w:t>
            </w:r>
            <w:proofErr w:type="spellStart"/>
            <w:r w:rsidRPr="00096C7B">
              <w:rPr>
                <w:rFonts w:ascii="Calibri" w:eastAsia="Times New Roman" w:hAnsi="Calibri" w:cs="Times New Roman"/>
                <w:lang w:val="en-US"/>
              </w:rPr>
              <w:t>computerised</w:t>
            </w:r>
            <w:proofErr w:type="spellEnd"/>
            <w:r w:rsidRPr="00096C7B">
              <w:rPr>
                <w:rFonts w:ascii="Calibri" w:eastAsia="Times New Roman" w:hAnsi="Calibri" w:cs="Times New Roman"/>
                <w:lang w:val="en-US"/>
              </w:rPr>
              <w:t xml:space="preserve"> in the form of </w:t>
            </w:r>
            <w:proofErr w:type="spellStart"/>
            <w:r w:rsidRPr="00096C7B">
              <w:rPr>
                <w:rFonts w:ascii="Calibri" w:eastAsia="Times New Roman" w:hAnsi="Calibri" w:cs="Times New Roman"/>
                <w:lang w:val="en-US"/>
              </w:rPr>
              <w:t>Powerpoint</w:t>
            </w:r>
            <w:proofErr w:type="spellEnd"/>
            <w:r w:rsidRPr="00096C7B">
              <w:rPr>
                <w:rFonts w:ascii="Calibri" w:eastAsia="Times New Roman" w:hAnsi="Calibri" w:cs="Times New Roman"/>
                <w:lang w:val="en-US"/>
              </w:rPr>
              <w:t>, Web linking, etc.</w:t>
            </w:r>
          </w:p>
          <w:p w:rsidR="005256C8" w:rsidRPr="00096C7B" w:rsidRDefault="00795E94" w:rsidP="001D341B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96C7B">
              <w:rPr>
                <w:rFonts w:ascii="Calibri" w:eastAsia="Times New Roman" w:hAnsi="Calibri" w:cs="Times New Roman"/>
                <w:lang w:val="en-US"/>
              </w:rPr>
              <w:t xml:space="preserve">Computer </w:t>
            </w:r>
            <w:proofErr w:type="spellStart"/>
            <w:r w:rsidRPr="00096C7B">
              <w:rPr>
                <w:rFonts w:ascii="Calibri" w:eastAsia="Times New Roman" w:hAnsi="Calibri" w:cs="Times New Roman"/>
                <w:lang w:val="en-US"/>
              </w:rPr>
              <w:t>programmes</w:t>
            </w:r>
            <w:proofErr w:type="spellEnd"/>
            <w:r w:rsidRPr="00096C7B">
              <w:rPr>
                <w:rFonts w:ascii="Calibri" w:eastAsia="Times New Roman" w:hAnsi="Calibri" w:cs="Times New Roman"/>
                <w:lang w:val="en-US"/>
              </w:rPr>
              <w:t xml:space="preserve"> and </w:t>
            </w:r>
            <w:proofErr w:type="spellStart"/>
            <w:r w:rsidRPr="00096C7B">
              <w:rPr>
                <w:rFonts w:ascii="Calibri" w:eastAsia="Times New Roman" w:hAnsi="Calibri" w:cs="Times New Roman"/>
                <w:lang w:val="en-US"/>
              </w:rPr>
              <w:t>appilications</w:t>
            </w:r>
            <w:proofErr w:type="spellEnd"/>
            <w:r w:rsidRPr="00096C7B">
              <w:rPr>
                <w:rFonts w:ascii="Calibri" w:eastAsia="Times New Roman" w:hAnsi="Calibri" w:cs="Times New Roman"/>
                <w:lang w:val="en-US"/>
              </w:rPr>
              <w:t xml:space="preserve"> are </w:t>
            </w:r>
            <w:r w:rsidR="002634E4" w:rsidRPr="00096C7B">
              <w:rPr>
                <w:rFonts w:ascii="Calibri" w:eastAsia="Times New Roman" w:hAnsi="Calibri" w:cs="Times New Roman"/>
                <w:lang w:val="en-US"/>
              </w:rPr>
              <w:t xml:space="preserve">taught and distributed to students, for the </w:t>
            </w:r>
            <w:proofErr w:type="spellStart"/>
            <w:r w:rsidR="002634E4" w:rsidRPr="00096C7B">
              <w:rPr>
                <w:rFonts w:ascii="Calibri" w:eastAsia="Times New Roman" w:hAnsi="Calibri" w:cs="Times New Roman"/>
                <w:lang w:val="en-US"/>
              </w:rPr>
              <w:t>anlysis</w:t>
            </w:r>
            <w:proofErr w:type="spellEnd"/>
            <w:r w:rsidR="002634E4" w:rsidRPr="00096C7B">
              <w:rPr>
                <w:rFonts w:ascii="Calibri" w:eastAsia="Times New Roman" w:hAnsi="Calibri" w:cs="Times New Roman"/>
                <w:lang w:val="en-US"/>
              </w:rPr>
              <w:t xml:space="preserve"> of financial information.</w:t>
            </w:r>
          </w:p>
          <w:p w:rsidR="00907017" w:rsidRPr="00096C7B" w:rsidRDefault="00907017" w:rsidP="003C27A8">
            <w:pPr>
              <w:spacing w:after="0" w:line="240" w:lineRule="auto"/>
              <w:rPr>
                <w:iCs/>
                <w:lang w:val="en-US"/>
              </w:rPr>
            </w:pPr>
          </w:p>
        </w:tc>
      </w:tr>
      <w:tr w:rsidR="00050B81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050B81" w:rsidRDefault="002634E4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67"/>
              <w:gridCol w:w="2468"/>
            </w:tblGrid>
            <w:tr w:rsidR="00050B81" w:rsidRPr="00C20232" w:rsidTr="00C20232">
              <w:tc>
                <w:tcPr>
                  <w:tcW w:w="2467" w:type="dxa"/>
                  <w:shd w:val="clear" w:color="auto" w:fill="EEECE1" w:themeFill="background2"/>
                  <w:vAlign w:val="center"/>
                </w:tcPr>
                <w:p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Work Load</w:t>
                  </w:r>
                </w:p>
              </w:tc>
            </w:tr>
            <w:tr w:rsidR="00050B81" w:rsidRPr="00050B81" w:rsidTr="00952292">
              <w:tc>
                <w:tcPr>
                  <w:tcW w:w="2467" w:type="dxa"/>
                </w:tcPr>
                <w:p w:rsidR="00050B81" w:rsidRPr="00B25922" w:rsidRDefault="003C27A8" w:rsidP="00050B81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050B81" w:rsidRPr="007C650F" w:rsidRDefault="007C650F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52</w:t>
                  </w:r>
                </w:p>
              </w:tc>
            </w:tr>
            <w:tr w:rsidR="00050B81" w:rsidRPr="00E84DA4" w:rsidTr="00050B81">
              <w:tc>
                <w:tcPr>
                  <w:tcW w:w="2467" w:type="dxa"/>
                  <w:shd w:val="clear" w:color="auto" w:fill="auto"/>
                </w:tcPr>
                <w:p w:rsidR="00050B81" w:rsidRPr="00096C7B" w:rsidRDefault="005F5141" w:rsidP="005F5141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</w:rPr>
                  </w:pPr>
                  <w:r w:rsidRPr="00096C7B">
                    <w:rPr>
                      <w:rFonts w:ascii="Calibri" w:hAnsi="Calibri" w:cs="Arial"/>
                      <w:color w:val="002060"/>
                    </w:rPr>
                    <w:t>Exercises focusing in the application of methodologies and case studies with which students are being trained in small groups</w:t>
                  </w:r>
                </w:p>
              </w:tc>
              <w:tc>
                <w:tcPr>
                  <w:tcW w:w="2468" w:type="dxa"/>
                </w:tcPr>
                <w:p w:rsidR="00050B81" w:rsidRPr="008226F4" w:rsidRDefault="00050B81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</w:p>
              </w:tc>
            </w:tr>
            <w:tr w:rsidR="000868E5" w:rsidRPr="00050B81" w:rsidTr="00050B81">
              <w:tc>
                <w:tcPr>
                  <w:tcW w:w="2467" w:type="dxa"/>
                  <w:shd w:val="clear" w:color="auto" w:fill="auto"/>
                </w:tcPr>
                <w:p w:rsidR="000868E5" w:rsidRPr="007C650F" w:rsidRDefault="007C650F" w:rsidP="006E3D85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 w:eastAsia="en-US"/>
                    </w:rPr>
                  </w:pPr>
                  <w:r>
                    <w:rPr>
                      <w:rFonts w:cs="Arial"/>
                    </w:rPr>
                    <w:t>P</w:t>
                  </w:r>
                  <w:r>
                    <w:rPr>
                      <w:rFonts w:cs="Arial"/>
                    </w:rPr>
                    <w:t xml:space="preserve">ractical exercises </w:t>
                  </w:r>
                  <w:r w:rsidRPr="00BE2E0A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468" w:type="dxa"/>
                </w:tcPr>
                <w:p w:rsidR="000868E5" w:rsidRPr="007C650F" w:rsidRDefault="007C650F" w:rsidP="006E3D85">
                  <w:pPr>
                    <w:jc w:val="center"/>
                    <w:rPr>
                      <w:rFonts w:ascii="Calibri" w:hAnsi="Calibri" w:cs="Arial"/>
                      <w:color w:val="002060"/>
                      <w:lang w:val="el-GR" w:eastAsia="en-US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13</w:t>
                  </w: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A87D26" w:rsidRDefault="007C650F" w:rsidP="00AE28F4">
                  <w:pPr>
                    <w:rPr>
                      <w:rFonts w:ascii="Calibri" w:hAnsi="Calibri" w:cs="Arial"/>
                      <w:color w:val="002060"/>
                      <w:lang w:val="en-GB" w:eastAsia="en-US"/>
                    </w:rPr>
                  </w:pPr>
                  <w:r w:rsidRPr="00A87D26">
                    <w:rPr>
                      <w:rFonts w:ascii="Calibri" w:hAnsi="Calibri" w:cs="Arial"/>
                      <w:color w:val="002060"/>
                      <w:lang w:val="en-GB"/>
                    </w:rPr>
                    <w:t>Self-directed study</w:t>
                  </w:r>
                </w:p>
              </w:tc>
              <w:tc>
                <w:tcPr>
                  <w:tcW w:w="2468" w:type="dxa"/>
                </w:tcPr>
                <w:p w:rsidR="007C650F" w:rsidRPr="00A87D26" w:rsidRDefault="007C650F" w:rsidP="00AE28F4">
                  <w:pPr>
                    <w:jc w:val="center"/>
                    <w:rPr>
                      <w:rFonts w:ascii="Calibri" w:hAnsi="Calibri" w:cs="Arial"/>
                      <w:color w:val="002060"/>
                      <w:lang w:val="en-GB" w:eastAsia="en-US"/>
                    </w:rPr>
                  </w:pPr>
                  <w:r w:rsidRPr="00A87D26">
                    <w:rPr>
                      <w:rFonts w:ascii="Calibri" w:hAnsi="Calibri" w:cs="Arial"/>
                      <w:color w:val="002060"/>
                      <w:lang w:val="en-GB"/>
                    </w:rPr>
                    <w:t>42</w:t>
                  </w: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A87D26" w:rsidRDefault="007C650F" w:rsidP="006E3D85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2468" w:type="dxa"/>
                </w:tcPr>
                <w:p w:rsidR="007C650F" w:rsidRPr="00A87D26" w:rsidRDefault="007C650F" w:rsidP="006E3D85">
                  <w:pPr>
                    <w:jc w:val="center"/>
                    <w:rPr>
                      <w:rFonts w:ascii="Calibri" w:hAnsi="Calibri" w:cs="Arial"/>
                      <w:color w:val="002060"/>
                      <w:lang w:val="en-GB" w:eastAsia="en-US"/>
                    </w:rPr>
                  </w:pP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B25922" w:rsidRDefault="007C650F" w:rsidP="00BB7B48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7C650F" w:rsidRPr="003B45BC" w:rsidRDefault="007C650F" w:rsidP="000868E5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6B46AE" w:rsidRDefault="007C650F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:rsidR="007C650F" w:rsidRPr="006B46AE" w:rsidRDefault="007C650F" w:rsidP="008343A9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A87D26" w:rsidRDefault="007C650F" w:rsidP="006E3D85">
                  <w:pPr>
                    <w:rPr>
                      <w:rFonts w:ascii="Calibri" w:hAnsi="Calibri" w:cs="Arial"/>
                      <w:color w:val="002060"/>
                      <w:lang w:val="en-GB" w:eastAsia="en-US"/>
                    </w:rPr>
                  </w:pPr>
                </w:p>
              </w:tc>
              <w:tc>
                <w:tcPr>
                  <w:tcW w:w="2468" w:type="dxa"/>
                </w:tcPr>
                <w:p w:rsidR="007C650F" w:rsidRPr="00A87D26" w:rsidRDefault="007C650F" w:rsidP="006E3D85">
                  <w:pPr>
                    <w:jc w:val="center"/>
                    <w:rPr>
                      <w:rFonts w:ascii="Calibri" w:hAnsi="Calibri" w:cs="Arial"/>
                      <w:color w:val="002060"/>
                      <w:lang w:val="en-GB" w:eastAsia="en-US"/>
                    </w:rPr>
                  </w:pPr>
                </w:p>
              </w:tc>
            </w:tr>
            <w:tr w:rsidR="007C650F" w:rsidRPr="00050B81" w:rsidTr="00050B81">
              <w:tc>
                <w:tcPr>
                  <w:tcW w:w="2467" w:type="dxa"/>
                  <w:shd w:val="clear" w:color="auto" w:fill="auto"/>
                </w:tcPr>
                <w:p w:rsidR="007C650F" w:rsidRPr="007C650F" w:rsidRDefault="007C650F" w:rsidP="008343A9">
                  <w:pPr>
                    <w:rPr>
                      <w:rFonts w:ascii="Calibri" w:hAnsi="Calibri" w:cs="Arial"/>
                      <w:color w:val="002060"/>
                    </w:rPr>
                  </w:pPr>
                </w:p>
              </w:tc>
              <w:tc>
                <w:tcPr>
                  <w:tcW w:w="2468" w:type="dxa"/>
                </w:tcPr>
                <w:p w:rsidR="007C650F" w:rsidRPr="008226F4" w:rsidRDefault="007C650F" w:rsidP="008343A9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</w:p>
              </w:tc>
            </w:tr>
            <w:tr w:rsidR="007C650F" w:rsidRPr="00050B81" w:rsidTr="00C20232">
              <w:tc>
                <w:tcPr>
                  <w:tcW w:w="2467" w:type="dxa"/>
                  <w:shd w:val="clear" w:color="auto" w:fill="EEECE1" w:themeFill="background2"/>
                </w:tcPr>
                <w:p w:rsidR="007C650F" w:rsidRPr="00096C7B" w:rsidRDefault="007C650F" w:rsidP="008343A9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096C7B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:rsidR="007C650F" w:rsidRPr="00096C7B" w:rsidRDefault="007C650F" w:rsidP="005F5141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096C7B">
                    <w:rPr>
                      <w:rFonts w:ascii="Calibri" w:hAnsi="Calibri" w:cs="Arial"/>
                      <w:i/>
                      <w:color w:val="002060"/>
                    </w:rPr>
                    <w:t xml:space="preserve">(25 hours of student work </w:t>
                  </w:r>
                  <w:proofErr w:type="spellStart"/>
                  <w:r w:rsidRPr="00096C7B">
                    <w:rPr>
                      <w:rFonts w:ascii="Calibri" w:hAnsi="Calibri" w:cs="Arial"/>
                      <w:i/>
                      <w:color w:val="002060"/>
                    </w:rPr>
                    <w:t>loadper</w:t>
                  </w:r>
                  <w:proofErr w:type="spellEnd"/>
                  <w:r w:rsidRPr="00096C7B">
                    <w:rPr>
                      <w:rFonts w:ascii="Calibri" w:hAnsi="Calibri" w:cs="Arial"/>
                      <w:i/>
                      <w:color w:val="002060"/>
                    </w:rPr>
                    <w:t xml:space="preserve"> ECTS)</w:t>
                  </w:r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:rsidR="007C650F" w:rsidRPr="00C20232" w:rsidRDefault="007C650F" w:rsidP="008343A9">
                  <w:pPr>
                    <w:jc w:val="center"/>
                    <w:rPr>
                      <w:rFonts w:ascii="Calibri" w:hAnsi="Calibri" w:cs="Arial"/>
                      <w:i/>
                      <w:color w:val="002060"/>
                      <w:lang w:val="el-GR"/>
                    </w:rPr>
                  </w:pPr>
                  <w:r w:rsidRPr="00C20232">
                    <w:rPr>
                      <w:rFonts w:ascii="Calibri" w:hAnsi="Calibri" w:cs="Arial"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868E5" w:rsidRPr="00E84DA4" w:rsidTr="00952292">
        <w:tc>
          <w:tcPr>
            <w:tcW w:w="3306" w:type="dxa"/>
          </w:tcPr>
          <w:p w:rsidR="000868E5" w:rsidRPr="00050B81" w:rsidRDefault="000868E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0868E5" w:rsidRPr="00050B81" w:rsidRDefault="000868E5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0868E5" w:rsidRPr="00050B81" w:rsidRDefault="000868E5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0868E5" w:rsidRPr="00050B81" w:rsidRDefault="000868E5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0868E5" w:rsidRPr="00A87D26" w:rsidRDefault="000868E5" w:rsidP="006E3D85">
            <w:pPr>
              <w:spacing w:after="0" w:line="240" w:lineRule="auto"/>
              <w:rPr>
                <w:iCs/>
                <w:color w:val="002060"/>
                <w:lang w:val="en-GB"/>
              </w:rPr>
            </w:pPr>
            <w:r w:rsidRPr="00A87D26">
              <w:rPr>
                <w:iCs/>
                <w:color w:val="002060"/>
                <w:lang w:val="en-GB"/>
              </w:rPr>
              <w:t>The evaluation process is in the language that the course is taught (Greek or English) and consists of:</w:t>
            </w:r>
          </w:p>
          <w:p w:rsidR="000868E5" w:rsidRPr="00A87D26" w:rsidRDefault="000868E5" w:rsidP="00F4001C">
            <w:pPr>
              <w:pStyle w:val="a4"/>
              <w:spacing w:after="0" w:line="240" w:lineRule="auto"/>
              <w:rPr>
                <w:iCs/>
                <w:color w:val="002060"/>
                <w:lang w:val="en-GB"/>
              </w:rPr>
            </w:pPr>
            <w:r w:rsidRPr="00A87D26">
              <w:rPr>
                <w:iCs/>
                <w:color w:val="002060"/>
                <w:lang w:val="en-GB"/>
              </w:rPr>
              <w:t xml:space="preserve">Compulsory written final examination at the </w:t>
            </w:r>
            <w:r w:rsidRPr="00A87D26">
              <w:rPr>
                <w:iCs/>
                <w:color w:val="002060"/>
                <w:lang w:val="en-GB"/>
              </w:rPr>
              <w:lastRenderedPageBreak/>
              <w:t>end of the semester (weighting factor 55%) which includes:</w:t>
            </w:r>
          </w:p>
          <w:p w:rsidR="000868E5" w:rsidRPr="00A87D26" w:rsidRDefault="000868E5" w:rsidP="000868E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lang w:val="en-GB"/>
              </w:rPr>
            </w:pPr>
            <w:r w:rsidRPr="00A87D26">
              <w:rPr>
                <w:iCs/>
                <w:color w:val="002060"/>
                <w:lang w:val="en-GB"/>
              </w:rPr>
              <w:t>Open-ended questions</w:t>
            </w:r>
          </w:p>
          <w:p w:rsidR="000868E5" w:rsidRPr="00A87D26" w:rsidRDefault="000868E5" w:rsidP="000868E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lang w:val="en-GB"/>
              </w:rPr>
            </w:pPr>
            <w:r w:rsidRPr="00A87D26">
              <w:rPr>
                <w:iCs/>
                <w:color w:val="002060"/>
                <w:lang w:val="en-GB"/>
              </w:rPr>
              <w:t xml:space="preserve">Problem solving  </w:t>
            </w:r>
          </w:p>
          <w:p w:rsidR="000868E5" w:rsidRPr="00A87D26" w:rsidRDefault="000868E5" w:rsidP="006E3D85">
            <w:pPr>
              <w:pStyle w:val="a4"/>
              <w:spacing w:after="0" w:line="240" w:lineRule="auto"/>
              <w:rPr>
                <w:iCs/>
                <w:color w:val="002060"/>
                <w:lang w:val="en-GB"/>
              </w:rPr>
            </w:pPr>
            <w:r w:rsidRPr="00A87D26">
              <w:rPr>
                <w:iCs/>
                <w:color w:val="002060"/>
                <w:lang w:val="en-GB"/>
              </w:rPr>
              <w:t>Evaluation criteria: correctness, completeness, clarity</w:t>
            </w:r>
          </w:p>
          <w:p w:rsidR="000868E5" w:rsidRPr="00A87D26" w:rsidRDefault="000868E5" w:rsidP="006E3D85">
            <w:pPr>
              <w:spacing w:after="0" w:line="240" w:lineRule="auto"/>
              <w:rPr>
                <w:iCs/>
                <w:color w:val="002060"/>
                <w:lang w:val="en-GB" w:eastAsia="en-US"/>
              </w:rPr>
            </w:pPr>
          </w:p>
        </w:tc>
      </w:tr>
    </w:tbl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E84DA4" w:rsidTr="00952292">
        <w:tc>
          <w:tcPr>
            <w:tcW w:w="8472" w:type="dxa"/>
          </w:tcPr>
          <w:p w:rsidR="00A45BD0" w:rsidRDefault="000868E5" w:rsidP="00050B81">
            <w:pPr>
              <w:spacing w:after="0" w:line="240" w:lineRule="auto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A87D26">
              <w:rPr>
                <w:rFonts w:cs="Arial"/>
                <w:i/>
                <w:sz w:val="16"/>
                <w:szCs w:val="16"/>
                <w:lang w:val="en-GB"/>
              </w:rPr>
              <w:t>Suggested bibliography:</w:t>
            </w:r>
          </w:p>
          <w:p w:rsidR="000868E5" w:rsidRPr="00FA1FF9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 w:rsidRPr="00FA1FF9">
              <w:rPr>
                <w:iCs/>
                <w:color w:val="002060"/>
              </w:rPr>
              <w:t>Taylor</w:t>
            </w:r>
            <w:proofErr w:type="spellEnd"/>
            <w:r w:rsidRPr="00FA1FF9">
              <w:rPr>
                <w:iCs/>
                <w:color w:val="002060"/>
              </w:rPr>
              <w:t>, D.A. (2006) “Διαχείριση Εφοδιαστικής Αλυσίδας”, Εκδόσεις Κλειδάριθμος</w:t>
            </w:r>
          </w:p>
          <w:p w:rsidR="000868E5" w:rsidRPr="00831C56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 w:rsidRPr="00FA1FF9">
              <w:rPr>
                <w:iCs/>
                <w:color w:val="002060"/>
              </w:rPr>
              <w:t>Christopher</w:t>
            </w:r>
            <w:proofErr w:type="spellEnd"/>
            <w:r w:rsidRPr="00FA1FF9">
              <w:rPr>
                <w:iCs/>
                <w:color w:val="002060"/>
              </w:rPr>
              <w:t>, M. (2007) “</w:t>
            </w:r>
            <w:proofErr w:type="spellStart"/>
            <w:r w:rsidRPr="00FA1FF9">
              <w:rPr>
                <w:iCs/>
                <w:color w:val="002060"/>
              </w:rPr>
              <w:t>Logistics</w:t>
            </w:r>
            <w:proofErr w:type="spellEnd"/>
            <w:r w:rsidRPr="00FA1FF9">
              <w:rPr>
                <w:iCs/>
                <w:color w:val="002060"/>
              </w:rPr>
              <w:t>&amp; Διαχείριση Εφοδιαστικής Αλυσίδας”, Εκδόσεις Κριτική</w:t>
            </w:r>
          </w:p>
          <w:p w:rsidR="000868E5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>
              <w:rPr>
                <w:iCs/>
                <w:color w:val="002060"/>
              </w:rPr>
              <w:t>Aurier</w:t>
            </w:r>
            <w:proofErr w:type="spellEnd"/>
            <w:r>
              <w:rPr>
                <w:iCs/>
                <w:color w:val="002060"/>
              </w:rPr>
              <w:t xml:space="preserve">, P. &amp; </w:t>
            </w:r>
            <w:proofErr w:type="spellStart"/>
            <w:r>
              <w:rPr>
                <w:iCs/>
                <w:color w:val="002060"/>
              </w:rPr>
              <w:t>Sirieix</w:t>
            </w:r>
            <w:proofErr w:type="spellEnd"/>
            <w:r>
              <w:rPr>
                <w:iCs/>
                <w:color w:val="002060"/>
              </w:rPr>
              <w:t xml:space="preserve">, L. (2019). </w:t>
            </w:r>
            <w:r>
              <w:rPr>
                <w:i/>
                <w:iCs/>
                <w:color w:val="002060"/>
              </w:rPr>
              <w:t>Μάρκετινγκ Αγροτικών Προϊόντων και Τροφίμων.</w:t>
            </w:r>
            <w:r>
              <w:rPr>
                <w:iCs/>
                <w:color w:val="002060"/>
              </w:rPr>
              <w:t xml:space="preserve"> Αθήνα Προπομπός.</w:t>
            </w:r>
          </w:p>
          <w:p w:rsidR="000868E5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>
              <w:rPr>
                <w:iCs/>
                <w:color w:val="002060"/>
              </w:rPr>
              <w:t>Norwood</w:t>
            </w:r>
            <w:proofErr w:type="spellEnd"/>
            <w:r>
              <w:rPr>
                <w:iCs/>
                <w:color w:val="002060"/>
              </w:rPr>
              <w:t xml:space="preserve">, B. &amp; </w:t>
            </w:r>
            <w:proofErr w:type="spellStart"/>
            <w:r>
              <w:rPr>
                <w:iCs/>
                <w:color w:val="002060"/>
              </w:rPr>
              <w:t>Lusk</w:t>
            </w:r>
            <w:proofErr w:type="spellEnd"/>
            <w:r>
              <w:rPr>
                <w:iCs/>
                <w:color w:val="002060"/>
              </w:rPr>
              <w:t xml:space="preserve">, J. (2012). </w:t>
            </w:r>
            <w:r>
              <w:rPr>
                <w:i/>
                <w:iCs/>
                <w:color w:val="002060"/>
              </w:rPr>
              <w:t>Μάρκετινγκ και τιμές Αγροτικών Προϊόντων.</w:t>
            </w:r>
            <w:r>
              <w:rPr>
                <w:iCs/>
                <w:color w:val="002060"/>
              </w:rPr>
              <w:t xml:space="preserve"> Λευκωσία: </w:t>
            </w:r>
            <w:proofErr w:type="spellStart"/>
            <w:r>
              <w:rPr>
                <w:iCs/>
                <w:color w:val="002060"/>
              </w:rPr>
              <w:t>Broken</w:t>
            </w:r>
            <w:proofErr w:type="spellEnd"/>
            <w:r>
              <w:rPr>
                <w:iCs/>
                <w:color w:val="002060"/>
              </w:rPr>
              <w:t xml:space="preserve"> </w:t>
            </w:r>
            <w:proofErr w:type="spellStart"/>
            <w:r>
              <w:rPr>
                <w:iCs/>
                <w:color w:val="002060"/>
              </w:rPr>
              <w:t>Hill</w:t>
            </w:r>
            <w:proofErr w:type="spellEnd"/>
            <w:r>
              <w:rPr>
                <w:iCs/>
                <w:color w:val="002060"/>
              </w:rPr>
              <w:t>.</w:t>
            </w:r>
          </w:p>
          <w:p w:rsidR="000868E5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>
              <w:rPr>
                <w:iCs/>
                <w:color w:val="002060"/>
              </w:rPr>
              <w:t>Καμενίδης</w:t>
            </w:r>
            <w:proofErr w:type="spellEnd"/>
            <w:r>
              <w:rPr>
                <w:iCs/>
                <w:color w:val="002060"/>
              </w:rPr>
              <w:t xml:space="preserve">, Χ. (2018). </w:t>
            </w:r>
            <w:r>
              <w:rPr>
                <w:i/>
                <w:iCs/>
                <w:color w:val="002060"/>
              </w:rPr>
              <w:t>Μάρκετινγκ Αγροτικών Προϊόντων.</w:t>
            </w:r>
            <w:r>
              <w:rPr>
                <w:iCs/>
                <w:color w:val="002060"/>
              </w:rPr>
              <w:t xml:space="preserve"> Θεσσαλονίκη: Κυριακίδη.</w:t>
            </w:r>
          </w:p>
          <w:p w:rsidR="000868E5" w:rsidRPr="00FA1FF9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</w:rPr>
            </w:pPr>
            <w:proofErr w:type="spellStart"/>
            <w:r>
              <w:rPr>
                <w:iCs/>
                <w:color w:val="002060"/>
              </w:rPr>
              <w:t>Μαλινδρέτος</w:t>
            </w:r>
            <w:proofErr w:type="spellEnd"/>
            <w:r>
              <w:rPr>
                <w:iCs/>
                <w:color w:val="002060"/>
              </w:rPr>
              <w:t xml:space="preserve">, Γ. (2015). </w:t>
            </w:r>
            <w:r>
              <w:rPr>
                <w:i/>
                <w:iCs/>
                <w:color w:val="002060"/>
              </w:rPr>
              <w:t xml:space="preserve">Εφοδιαστική αλυσίδα, </w:t>
            </w:r>
            <w:r>
              <w:rPr>
                <w:i/>
                <w:iCs/>
                <w:color w:val="002060"/>
                <w:lang w:val="en-US"/>
              </w:rPr>
              <w:t>logistics</w:t>
            </w:r>
            <w:r>
              <w:rPr>
                <w:i/>
                <w:iCs/>
                <w:color w:val="002060"/>
              </w:rPr>
              <w:t xml:space="preserve"> και εξυπηρέτηση πελατών.</w:t>
            </w:r>
            <w:r>
              <w:rPr>
                <w:iCs/>
                <w:color w:val="002060"/>
              </w:rPr>
              <w:t xml:space="preserve"> Αθήνα: Σύνδεσμος Ελληνικών Ακαδημαϊκών Βιβλιοθηκών.</w:t>
            </w:r>
          </w:p>
          <w:p w:rsidR="000868E5" w:rsidRDefault="000868E5" w:rsidP="000868E5">
            <w:pPr>
              <w:pStyle w:val="a4"/>
              <w:spacing w:after="0" w:line="240" w:lineRule="auto"/>
              <w:jc w:val="both"/>
              <w:rPr>
                <w:iCs/>
                <w:color w:val="002060"/>
              </w:rPr>
            </w:pPr>
          </w:p>
          <w:p w:rsidR="000868E5" w:rsidRDefault="000868E5" w:rsidP="000868E5">
            <w:pPr>
              <w:pStyle w:val="a4"/>
              <w:spacing w:after="0" w:line="240" w:lineRule="auto"/>
              <w:jc w:val="both"/>
              <w:rPr>
                <w:iCs/>
                <w:color w:val="002060"/>
              </w:rPr>
            </w:pPr>
          </w:p>
          <w:p w:rsidR="000868E5" w:rsidRPr="00052CFD" w:rsidRDefault="00052CFD" w:rsidP="000868E5">
            <w:pPr>
              <w:pStyle w:val="a4"/>
              <w:spacing w:after="0" w:line="240" w:lineRule="auto"/>
              <w:jc w:val="both"/>
              <w:rPr>
                <w:b/>
                <w:iCs/>
                <w:color w:val="002060"/>
                <w:lang w:val="en-US"/>
              </w:rPr>
            </w:pPr>
            <w:r>
              <w:rPr>
                <w:b/>
                <w:iCs/>
                <w:color w:val="002060"/>
                <w:lang w:val="en-US"/>
              </w:rPr>
              <w:t>In English</w:t>
            </w:r>
          </w:p>
          <w:p w:rsidR="000868E5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proofErr w:type="spellStart"/>
            <w:r>
              <w:rPr>
                <w:iCs/>
                <w:color w:val="002060"/>
                <w:lang w:val="en-US"/>
              </w:rPr>
              <w:t>Iakovou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, E., </w:t>
            </w:r>
            <w:proofErr w:type="spellStart"/>
            <w:r>
              <w:rPr>
                <w:iCs/>
                <w:color w:val="002060"/>
                <w:lang w:val="en-US"/>
              </w:rPr>
              <w:t>Bochtis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, D., Vlachos, D. &amp; </w:t>
            </w:r>
            <w:proofErr w:type="spellStart"/>
            <w:r>
              <w:rPr>
                <w:iCs/>
                <w:color w:val="002060"/>
                <w:lang w:val="en-US"/>
              </w:rPr>
              <w:t>Aidonis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, D. (2016). </w:t>
            </w:r>
            <w:r>
              <w:rPr>
                <w:i/>
                <w:iCs/>
                <w:color w:val="002060"/>
                <w:lang w:val="en-US"/>
              </w:rPr>
              <w:t>Supply Chain Management for Sustainable Food Networks.</w:t>
            </w:r>
            <w:r>
              <w:rPr>
                <w:iCs/>
                <w:color w:val="002060"/>
                <w:lang w:val="en-US"/>
              </w:rPr>
              <w:t xml:space="preserve"> Hoboken, New Jersey: John Wiley &amp; Sons.</w:t>
            </w:r>
          </w:p>
          <w:p w:rsidR="000868E5" w:rsidRDefault="000868E5" w:rsidP="000868E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Information Resources Management Association (2016). </w:t>
            </w:r>
            <w:proofErr w:type="spellStart"/>
            <w:r>
              <w:rPr>
                <w:i/>
                <w:iCs/>
                <w:color w:val="002060"/>
                <w:lang w:val="en-US"/>
              </w:rPr>
              <w:t>Agri</w:t>
            </w:r>
            <w:proofErr w:type="spellEnd"/>
            <w:r>
              <w:rPr>
                <w:i/>
                <w:iCs/>
                <w:color w:val="002060"/>
                <w:lang w:val="en-US"/>
              </w:rPr>
              <w:t>-Food Supply Chain Management.</w:t>
            </w:r>
            <w:r>
              <w:rPr>
                <w:iCs/>
                <w:color w:val="002060"/>
                <w:lang w:val="en-US"/>
              </w:rPr>
              <w:t xml:space="preserve"> Hershey, Pennsylvania: IGI Global.</w:t>
            </w:r>
          </w:p>
          <w:p w:rsidR="000868E5" w:rsidRDefault="000868E5" w:rsidP="00050B81">
            <w:pPr>
              <w:spacing w:after="0" w:line="240" w:lineRule="auto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</w:p>
          <w:p w:rsidR="00052CFD" w:rsidRPr="00A87D26" w:rsidRDefault="00052CFD" w:rsidP="00052CFD">
            <w:pPr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A87D26">
              <w:rPr>
                <w:rFonts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052CFD" w:rsidRPr="00A25170" w:rsidRDefault="00052CFD" w:rsidP="00052CF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 w:rsidRPr="00A25170">
              <w:rPr>
                <w:iCs/>
                <w:color w:val="002060"/>
                <w:lang w:val="en-US"/>
              </w:rPr>
              <w:t>International Food and Agribusiness Management Review</w:t>
            </w:r>
          </w:p>
          <w:p w:rsidR="00052CFD" w:rsidRPr="00A25170" w:rsidRDefault="00052CFD" w:rsidP="00052CF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 w:rsidRPr="00A25170">
              <w:rPr>
                <w:iCs/>
                <w:color w:val="002060"/>
                <w:lang w:val="en-US"/>
              </w:rPr>
              <w:t>Journal of Agribusiness in Developing and Emerging Economies</w:t>
            </w:r>
          </w:p>
          <w:p w:rsidR="00052CFD" w:rsidRPr="00A25170" w:rsidRDefault="00052CFD" w:rsidP="00052CF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 w:rsidRPr="00A25170">
              <w:rPr>
                <w:iCs/>
                <w:color w:val="002060"/>
                <w:lang w:val="en-US"/>
              </w:rPr>
              <w:t>Journal of Agriculture, Food Systems, and Community Development</w:t>
            </w:r>
          </w:p>
          <w:p w:rsidR="00052CFD" w:rsidRPr="00A25170" w:rsidRDefault="00052CFD" w:rsidP="00052CF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Sustainability</w:t>
            </w:r>
          </w:p>
          <w:p w:rsidR="000868E5" w:rsidRDefault="000868E5" w:rsidP="00050B81">
            <w:pPr>
              <w:spacing w:after="0" w:line="240" w:lineRule="auto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</w:p>
          <w:p w:rsidR="00C20232" w:rsidRPr="004F22C4" w:rsidRDefault="006B46AE" w:rsidP="004F22C4">
            <w:pPr>
              <w:spacing w:after="0"/>
              <w:jc w:val="both"/>
              <w:rPr>
                <w:sz w:val="20"/>
                <w:lang w:val="en-US"/>
              </w:rPr>
            </w:pPr>
            <w:r w:rsidRPr="004F22C4">
              <w:rPr>
                <w:sz w:val="20"/>
                <w:lang w:val="en-US"/>
              </w:rPr>
              <w:t xml:space="preserve"> </w:t>
            </w:r>
          </w:p>
        </w:tc>
      </w:tr>
    </w:tbl>
    <w:p w:rsidR="00B66EDB" w:rsidRPr="005256C8" w:rsidRDefault="00B66EDB">
      <w:pPr>
        <w:rPr>
          <w:lang w:val="en-US"/>
        </w:rPr>
      </w:pPr>
      <w:bookmarkStart w:id="0" w:name="_GoBack"/>
      <w:bookmarkEnd w:id="0"/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56605F"/>
    <w:multiLevelType w:val="hybridMultilevel"/>
    <w:tmpl w:val="95B8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B1118"/>
    <w:multiLevelType w:val="hybridMultilevel"/>
    <w:tmpl w:val="F52ADF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81D9B"/>
    <w:multiLevelType w:val="hybridMultilevel"/>
    <w:tmpl w:val="05E0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25A0E"/>
    <w:multiLevelType w:val="hybridMultilevel"/>
    <w:tmpl w:val="05D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760D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22915"/>
    <w:multiLevelType w:val="hybridMultilevel"/>
    <w:tmpl w:val="EF40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50B81"/>
    <w:rsid w:val="00007AB8"/>
    <w:rsid w:val="00050B81"/>
    <w:rsid w:val="00052CFD"/>
    <w:rsid w:val="000868E5"/>
    <w:rsid w:val="00096AF5"/>
    <w:rsid w:val="00096C7B"/>
    <w:rsid w:val="001714AF"/>
    <w:rsid w:val="001A3F9B"/>
    <w:rsid w:val="001A5C9E"/>
    <w:rsid w:val="001C723E"/>
    <w:rsid w:val="001D341B"/>
    <w:rsid w:val="002126D3"/>
    <w:rsid w:val="002634E4"/>
    <w:rsid w:val="002B37F5"/>
    <w:rsid w:val="002B76A5"/>
    <w:rsid w:val="002D6AD9"/>
    <w:rsid w:val="0035777A"/>
    <w:rsid w:val="00362931"/>
    <w:rsid w:val="003B45BC"/>
    <w:rsid w:val="003C27A8"/>
    <w:rsid w:val="003C2B47"/>
    <w:rsid w:val="0049495F"/>
    <w:rsid w:val="004F22C4"/>
    <w:rsid w:val="004F5816"/>
    <w:rsid w:val="00512ED2"/>
    <w:rsid w:val="005256C8"/>
    <w:rsid w:val="00542B73"/>
    <w:rsid w:val="0055495C"/>
    <w:rsid w:val="00570308"/>
    <w:rsid w:val="005851A6"/>
    <w:rsid w:val="005876E1"/>
    <w:rsid w:val="005F5141"/>
    <w:rsid w:val="00676F3A"/>
    <w:rsid w:val="006B36B4"/>
    <w:rsid w:val="006B46AE"/>
    <w:rsid w:val="006F09D3"/>
    <w:rsid w:val="00726337"/>
    <w:rsid w:val="00736E82"/>
    <w:rsid w:val="00795E94"/>
    <w:rsid w:val="007C650F"/>
    <w:rsid w:val="008226F4"/>
    <w:rsid w:val="008343A9"/>
    <w:rsid w:val="00847AC1"/>
    <w:rsid w:val="009014BC"/>
    <w:rsid w:val="00907017"/>
    <w:rsid w:val="0094771B"/>
    <w:rsid w:val="00952292"/>
    <w:rsid w:val="00974C95"/>
    <w:rsid w:val="009A0DEB"/>
    <w:rsid w:val="00A17C67"/>
    <w:rsid w:val="00A45BD0"/>
    <w:rsid w:val="00A84964"/>
    <w:rsid w:val="00AF18BF"/>
    <w:rsid w:val="00B25922"/>
    <w:rsid w:val="00B66EDB"/>
    <w:rsid w:val="00BA0CFD"/>
    <w:rsid w:val="00BA6722"/>
    <w:rsid w:val="00BB7B48"/>
    <w:rsid w:val="00BE4FAD"/>
    <w:rsid w:val="00C0341C"/>
    <w:rsid w:val="00C20232"/>
    <w:rsid w:val="00C96C96"/>
    <w:rsid w:val="00CB262E"/>
    <w:rsid w:val="00CD2D2E"/>
    <w:rsid w:val="00D12945"/>
    <w:rsid w:val="00D84B0E"/>
    <w:rsid w:val="00E84DA4"/>
    <w:rsid w:val="00F4001C"/>
    <w:rsid w:val="00F872AE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User</cp:lastModifiedBy>
  <cp:revision>6</cp:revision>
  <dcterms:created xsi:type="dcterms:W3CDTF">2020-08-15T05:57:00Z</dcterms:created>
  <dcterms:modified xsi:type="dcterms:W3CDTF">2020-08-15T06:36:00Z</dcterms:modified>
</cp:coreProperties>
</file>